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37779">
      <w:pPr>
        <w:spacing w:line="360" w:lineRule="auto"/>
        <w:jc w:val="center"/>
        <w:rPr>
          <w:rFonts w:hint="eastAsia" w:ascii="宋体" w:hAnsi="宋体" w:eastAsia="宋体" w:cs="仿宋"/>
          <w:b/>
          <w:bCs/>
          <w:sz w:val="32"/>
          <w:szCs w:val="32"/>
        </w:rPr>
      </w:pPr>
      <w:r>
        <w:rPr>
          <w:rFonts w:hint="eastAsia" w:ascii="宋体" w:hAnsi="宋体" w:eastAsia="宋体" w:cs="仿宋"/>
          <w:b/>
          <w:bCs/>
          <w:sz w:val="32"/>
          <w:szCs w:val="32"/>
        </w:rPr>
        <w:t>答 疑 通 知 书</w:t>
      </w:r>
    </w:p>
    <w:p w14:paraId="1CDF3FB6">
      <w:pPr>
        <w:spacing w:line="360" w:lineRule="auto"/>
        <w:rPr>
          <w:rFonts w:hint="eastAsia" w:ascii="宋体" w:hAnsi="宋体" w:eastAsia="宋体" w:cs="仿宋"/>
          <w:sz w:val="24"/>
          <w:szCs w:val="24"/>
          <w:u w:val="single"/>
        </w:rPr>
      </w:pPr>
      <w:r>
        <w:rPr>
          <w:rFonts w:hint="eastAsia" w:ascii="宋体" w:hAnsi="宋体" w:eastAsia="宋体" w:cs="仿宋"/>
          <w:sz w:val="24"/>
          <w:szCs w:val="24"/>
        </w:rPr>
        <w:t>致各潜在投标人：</w:t>
      </w:r>
    </w:p>
    <w:p w14:paraId="3B9BF8C5">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针对</w:t>
      </w:r>
      <w:r>
        <w:rPr>
          <w:rFonts w:hint="eastAsia" w:ascii="宋体" w:hAnsi="宋体" w:eastAsia="宋体" w:cs="仿宋"/>
          <w:sz w:val="24"/>
          <w:szCs w:val="24"/>
          <w:u w:val="single"/>
        </w:rPr>
        <w:t>安徽皖维集团物资有限公司新能源重卡充电站建设EPC（二次）（ZJZB-2025-25418</w:t>
      </w:r>
      <w:r>
        <w:rPr>
          <w:rFonts w:ascii="宋体" w:hAnsi="宋体" w:eastAsia="宋体" w:cs="仿宋"/>
          <w:sz w:val="24"/>
          <w:szCs w:val="24"/>
          <w:u w:val="single"/>
        </w:rPr>
        <w:t>）</w:t>
      </w:r>
      <w:r>
        <w:rPr>
          <w:rFonts w:hint="eastAsia" w:ascii="宋体" w:hAnsi="宋体" w:eastAsia="宋体" w:cs="仿宋"/>
          <w:sz w:val="24"/>
          <w:szCs w:val="24"/>
        </w:rPr>
        <w:t>的部分疑问，我司已收悉，经招标人确认，现答复如下：</w:t>
      </w:r>
    </w:p>
    <w:p w14:paraId="591FE43F">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问题1：图纸中高压柜为HXGN15-12型，技术规范书描述为SF6充气柜，依据哪个为准？（如果采用充气柜，那高压断路器就不能按品牌里报价，那些品牌不生产充气柜内断路器）</w:t>
      </w:r>
    </w:p>
    <w:p w14:paraId="200BD1A3">
      <w:pPr>
        <w:spacing w:line="360" w:lineRule="auto"/>
        <w:rPr>
          <w:rFonts w:hint="eastAsia" w:ascii="宋体" w:hAnsi="宋体" w:eastAsia="宋体" w:cs="仿宋"/>
          <w:sz w:val="24"/>
          <w:szCs w:val="24"/>
        </w:rPr>
      </w:pPr>
      <w:r>
        <w:rPr>
          <w:rFonts w:hint="eastAsia"/>
        </w:rPr>
        <w:drawing>
          <wp:inline distT="0" distB="0" distL="0" distR="0">
            <wp:extent cx="5270500" cy="3449955"/>
            <wp:effectExtent l="0" t="0" r="6350" b="0"/>
            <wp:docPr id="1324444332" name="图片 1" descr="45e832747f4e1ac85bfc85b506adf86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44332" name="图片 1" descr="45e832747f4e1ac85bfc85b506adf864_"/>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0500" cy="3449955"/>
                    </a:xfrm>
                    <a:prstGeom prst="rect">
                      <a:avLst/>
                    </a:prstGeom>
                    <a:noFill/>
                    <a:ln>
                      <a:noFill/>
                    </a:ln>
                  </pic:spPr>
                </pic:pic>
              </a:graphicData>
            </a:graphic>
          </wp:inline>
        </w:drawing>
      </w:r>
    </w:p>
    <w:p w14:paraId="6262A5C8">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答复1：按照招标文件要求执行。</w:t>
      </w:r>
    </w:p>
    <w:p w14:paraId="72771809">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问题2：技术规范书描述干式变压器放置在户外，需要外壳（不锈钢304），是否是技术规范书描述有问题？</w:t>
      </w:r>
    </w:p>
    <w:p w14:paraId="3DA0CDE9">
      <w:pPr>
        <w:spacing w:line="360" w:lineRule="auto"/>
        <w:rPr>
          <w:rFonts w:ascii="宋体" w:hAnsi="宋体" w:eastAsia="宋体" w:cs="仿宋"/>
          <w:sz w:val="24"/>
          <w:szCs w:val="24"/>
        </w:rPr>
      </w:pPr>
      <w:r>
        <w:rPr>
          <w:rFonts w:hint="eastAsia"/>
        </w:rPr>
        <w:drawing>
          <wp:inline distT="0" distB="0" distL="0" distR="0">
            <wp:extent cx="5270500" cy="1117600"/>
            <wp:effectExtent l="0" t="0" r="6350" b="6350"/>
            <wp:docPr id="802044190" name="图片 2" descr="bdca547374f4d2594742521e272d8c6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44190" name="图片 2" descr="bdca547374f4d2594742521e272d8c60_"/>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0500" cy="1117600"/>
                    </a:xfrm>
                    <a:prstGeom prst="rect">
                      <a:avLst/>
                    </a:prstGeom>
                    <a:noFill/>
                    <a:ln>
                      <a:noFill/>
                    </a:ln>
                  </pic:spPr>
                </pic:pic>
              </a:graphicData>
            </a:graphic>
          </wp:inline>
        </w:drawing>
      </w:r>
    </w:p>
    <w:p w14:paraId="2139C390">
      <w:pPr>
        <w:spacing w:line="360" w:lineRule="auto"/>
        <w:rPr>
          <w:rFonts w:ascii="宋体" w:hAnsi="宋体" w:eastAsia="宋体" w:cs="仿宋"/>
          <w:sz w:val="24"/>
          <w:szCs w:val="24"/>
        </w:rPr>
      </w:pPr>
      <w:r>
        <w:rPr>
          <w:rFonts w:hint="eastAsia"/>
        </w:rPr>
        <w:drawing>
          <wp:inline distT="0" distB="0" distL="0" distR="0">
            <wp:extent cx="5270500" cy="2870200"/>
            <wp:effectExtent l="0" t="0" r="6350" b="6350"/>
            <wp:docPr id="1617111976" name="图片 3" descr="5941edf5190adcbc7f728cc9ed12ac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11976" name="图片 3" descr="5941edf5190adcbc7f728cc9ed12ac55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0500" cy="2870200"/>
                    </a:xfrm>
                    <a:prstGeom prst="rect">
                      <a:avLst/>
                    </a:prstGeom>
                    <a:noFill/>
                    <a:ln>
                      <a:noFill/>
                    </a:ln>
                  </pic:spPr>
                </pic:pic>
              </a:graphicData>
            </a:graphic>
          </wp:inline>
        </w:drawing>
      </w:r>
    </w:p>
    <w:p w14:paraId="783AE2FC">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答复2：干式变压器可放在箱变变压器室，不需要外罩，若设计成独立装置需增加外壳。</w:t>
      </w:r>
    </w:p>
    <w:p w14:paraId="596EF30B">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问题3：技术规范书描述箱变内需放置一台电力监控柜（图纸中没有体现），是否需要预留位置？</w:t>
      </w:r>
    </w:p>
    <w:p w14:paraId="4A98C215">
      <w:pPr>
        <w:spacing w:line="360" w:lineRule="auto"/>
        <w:jc w:val="center"/>
        <w:rPr>
          <w:rFonts w:ascii="宋体" w:hAnsi="宋体" w:eastAsia="宋体" w:cs="仿宋"/>
          <w:sz w:val="24"/>
          <w:szCs w:val="24"/>
        </w:rPr>
      </w:pPr>
      <w:r>
        <w:rPr>
          <w:rFonts w:hint="eastAsia"/>
        </w:rPr>
        <w:drawing>
          <wp:inline distT="0" distB="0" distL="0" distR="0">
            <wp:extent cx="4110355" cy="4585970"/>
            <wp:effectExtent l="0" t="0" r="4445" b="5080"/>
            <wp:docPr id="1771050365" name="图片 4" descr="71b56e3cfc5e196f2c9045146e698c6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50365" name="图片 4" descr="71b56e3cfc5e196f2c9045146e698c66_"/>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130545" cy="4608295"/>
                    </a:xfrm>
                    <a:prstGeom prst="rect">
                      <a:avLst/>
                    </a:prstGeom>
                    <a:noFill/>
                    <a:ln>
                      <a:noFill/>
                    </a:ln>
                  </pic:spPr>
                </pic:pic>
              </a:graphicData>
            </a:graphic>
          </wp:inline>
        </w:drawing>
      </w:r>
    </w:p>
    <w:p w14:paraId="06DA25AF">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答复3：不需要预留位置，有信号接口就可以。</w:t>
      </w:r>
    </w:p>
    <w:p w14:paraId="29E78ABA">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问题4：技术规范书描述低压测控单元具体是什么？图纸中低压只有指针式仪表，即使选用多功能仪表也满足不了保护及遥控等功能。</w:t>
      </w:r>
    </w:p>
    <w:p w14:paraId="609B8800">
      <w:pPr>
        <w:spacing w:line="360" w:lineRule="auto"/>
        <w:rPr>
          <w:rFonts w:ascii="宋体" w:hAnsi="宋体" w:eastAsia="宋体" w:cs="仿宋"/>
          <w:sz w:val="24"/>
          <w:szCs w:val="24"/>
        </w:rPr>
      </w:pPr>
      <w:r>
        <w:rPr>
          <w:rFonts w:hint="eastAsia"/>
        </w:rPr>
        <w:drawing>
          <wp:inline distT="0" distB="0" distL="0" distR="0">
            <wp:extent cx="5270500" cy="5257800"/>
            <wp:effectExtent l="0" t="0" r="6350" b="0"/>
            <wp:docPr id="154864582" name="图片 5" descr="2bad398a31e2318cb070e41488e2c9fd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582" name="图片 5" descr="2bad398a31e2318cb070e41488e2c9fd_"/>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0500" cy="5257800"/>
                    </a:xfrm>
                    <a:prstGeom prst="rect">
                      <a:avLst/>
                    </a:prstGeom>
                    <a:noFill/>
                    <a:ln>
                      <a:noFill/>
                    </a:ln>
                  </pic:spPr>
                </pic:pic>
              </a:graphicData>
            </a:graphic>
          </wp:inline>
        </w:drawing>
      </w:r>
    </w:p>
    <w:p w14:paraId="66F88201">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答复4：只需要监测功能。</w:t>
      </w:r>
    </w:p>
    <w:p w14:paraId="3057FB5A">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问题5：招标文件中对箱变高压断路器的描述有矛盾，是采用SF6断路器还是真空断路器？</w:t>
      </w:r>
    </w:p>
    <w:p w14:paraId="72DC27B1">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答复5：按照招标文件要求执行。</w:t>
      </w:r>
    </w:p>
    <w:p w14:paraId="2675BA14">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问题6：箱变内是否需要做专用计量柜？</w:t>
      </w:r>
    </w:p>
    <w:p w14:paraId="1E90CA61">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答复6：按照招标文件要求执行。</w:t>
      </w:r>
    </w:p>
    <w:p w14:paraId="2A2651E0">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问题7：箱变内电力监控系统要求将充电站电力监控信号接入已有的统一管理平台，此做法箱变厂家也不清楚要怎么做，是必须要求的做法吗？或者明确具体是需要实现什么功能？</w:t>
      </w:r>
    </w:p>
    <w:p w14:paraId="2FB0C7EA">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答复7：必须做，将箱变电气数据传到已有后台。</w:t>
      </w:r>
    </w:p>
    <w:p w14:paraId="6F943527">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8：招标文件第8页投标保证金说明虚拟子账号随项目变动，请认真核对账户信息，我方未在平台找到保证金相关信息，是以招标文件中提供的保证金信息为准吗？保证金打款时备注是否有要求填写哪些内容（如：项目编号+投标保证金）？</w:t>
      </w:r>
    </w:p>
    <w:p w14:paraId="4DCFEB47">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答复8：以招标文件第二章投标人须知前附表3.4.1投标保证金中载明的账号为准。备注填写无实质性要求，为方便招标代理识别对应款项，请填写项目名称或编号+资金性质。</w:t>
      </w:r>
    </w:p>
    <w:p w14:paraId="58D1363E">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9：招标文件第18页3.7.3（2）要求，联合体投标的，除联合体协议书外，投标文件由联合体牵头人按上述规定加盖联合体牵头人单位电子印章和（或）法定代表人的个人电子印章/电子签名章。我方办理CA锁时，平台告知该平台只有公章，法定代表人的个人电子印章/电子签名章是否可以采用我公司已在其他平台办理的在有效期内的法定代表人的个人电子印章/电子签名章，或打印加盖实体个人印章/签名章后扫描放回投标文件内，以上两种贵司是否都认为在本次投标中为有效法定代表人签署？</w:t>
      </w:r>
    </w:p>
    <w:p w14:paraId="6D1ACA61">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答复9：以上两种本次投标都有效。</w:t>
      </w:r>
    </w:p>
    <w:p w14:paraId="5BFFEFC6">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10：招标文件只要求了在平台上传加密版投标文件，投标文件编制完成导出后，还有一个《需刻盘密封的文件夹》，此文件夹是否需要密封线下递交？如需，递交截止时间、递交地址、递交联系人、封袋、密封条等要求请明确告知。</w:t>
      </w:r>
    </w:p>
    <w:p w14:paraId="72C7D97A">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答复10：无需线下递交。</w:t>
      </w:r>
    </w:p>
    <w:p w14:paraId="29C2A139">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问题11：招标文件P26页，4.工作接口中“4.2施工及生活用水、排水、4.3施工及临建场地”，是指整个临建区域用水、排水、场地拆除、清理、平整工作，还是只负责该项目施工单位范围的相关工作？</w:t>
      </w:r>
    </w:p>
    <w:p w14:paraId="33144717">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答复11：只负责该项目施工单位范围的相关工作。</w:t>
      </w:r>
    </w:p>
    <w:p w14:paraId="6850E2D1">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12：招标文件P74页，“3.2.7在本合同履行过程中任何设计变更如果涉及费用变化时，其增加的费用均由承包人承担”，属于不平等条约，建议改为“在本合同履行过程非建设单位原因造成的设计变更如果涉及费用变化时，其增加的费用均由承包人承担”。</w:t>
      </w:r>
    </w:p>
    <w:p w14:paraId="30718173">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答复12：按照招标文件要求执行，不予修改。</w:t>
      </w:r>
    </w:p>
    <w:p w14:paraId="46D62C26">
      <w:pPr>
        <w:spacing w:line="360" w:lineRule="auto"/>
        <w:ind w:firstLine="480" w:firstLineChars="200"/>
        <w:rPr>
          <w:rFonts w:ascii="宋体" w:hAnsi="宋体" w:eastAsia="宋体" w:cs="仿宋"/>
          <w:sz w:val="24"/>
          <w:szCs w:val="24"/>
        </w:rPr>
      </w:pPr>
      <w:r>
        <w:rPr>
          <w:rFonts w:hint="eastAsia" w:ascii="宋体" w:hAnsi="宋体" w:eastAsia="宋体" w:cs="仿宋"/>
          <w:sz w:val="24"/>
          <w:szCs w:val="24"/>
        </w:rPr>
        <w:t>问题13：招标文件P106页，“开标一览表”中施工费报价（6%）、施工费报价（含税9%）、设备费报价（含税13%），招标文件P112页，“分项报价表”下“注：1.“单价”系指货物（服务）设计、生产、包装、运输、保险、装卸（至指定地点）、指导安装（招标文件要求报价）、调试、检验、验收、试运行、技术服务、培训等所有应由投标人承担的各项费用及税金。2.投标总价=分项报价表合计+质保期内备件及易损件分项报价表合计+专用工具分项报价表合计。”请问如何把报价表的金额分摊到开标一览表中？</w:t>
      </w:r>
    </w:p>
    <w:p w14:paraId="34028B2D">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答复1</w:t>
      </w:r>
      <w:r>
        <w:rPr>
          <w:rFonts w:hint="eastAsia" w:ascii="宋体" w:hAnsi="宋体" w:eastAsia="宋体" w:cs="仿宋"/>
          <w:sz w:val="24"/>
          <w:szCs w:val="24"/>
          <w:lang w:val="en-US" w:eastAsia="zh-CN"/>
        </w:rPr>
        <w:t>3</w:t>
      </w:r>
      <w:r>
        <w:rPr>
          <w:rFonts w:hint="eastAsia" w:ascii="宋体" w:hAnsi="宋体" w:eastAsia="宋体" w:cs="仿宋"/>
          <w:sz w:val="24"/>
          <w:szCs w:val="24"/>
        </w:rPr>
        <w:t>：按照招标文件要求执行。</w:t>
      </w:r>
      <w:bookmarkStart w:id="1" w:name="_GoBack"/>
      <w:bookmarkEnd w:id="1"/>
    </w:p>
    <w:p w14:paraId="7D00ADD4">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本项目其他内容不变，如招标文件中内容与上述</w:t>
      </w:r>
      <w:bookmarkStart w:id="0" w:name="OLE_LINK3"/>
      <w:r>
        <w:rPr>
          <w:rFonts w:hint="eastAsia" w:ascii="宋体" w:hAnsi="宋体" w:eastAsia="宋体" w:cs="仿宋"/>
          <w:sz w:val="24"/>
          <w:szCs w:val="24"/>
        </w:rPr>
        <w:t>答疑</w:t>
      </w:r>
      <w:bookmarkEnd w:id="0"/>
      <w:r>
        <w:rPr>
          <w:rFonts w:hint="eastAsia" w:ascii="宋体" w:hAnsi="宋体" w:eastAsia="宋体" w:cs="仿宋"/>
          <w:sz w:val="24"/>
          <w:szCs w:val="24"/>
        </w:rPr>
        <w:t>内容有冲突的，以答疑内容为准。</w:t>
      </w:r>
    </w:p>
    <w:p w14:paraId="56B56028">
      <w:pPr>
        <w:spacing w:line="360" w:lineRule="auto"/>
        <w:ind w:firstLine="480" w:firstLineChars="200"/>
        <w:jc w:val="right"/>
        <w:rPr>
          <w:rFonts w:hint="eastAsia" w:ascii="宋体" w:hAnsi="宋体" w:eastAsia="宋体" w:cs="仿宋"/>
          <w:sz w:val="24"/>
          <w:szCs w:val="24"/>
        </w:rPr>
      </w:pPr>
      <w:r>
        <w:rPr>
          <w:rFonts w:hint="eastAsia" w:ascii="宋体" w:hAnsi="宋体" w:eastAsia="宋体" w:cs="仿宋"/>
          <w:sz w:val="24"/>
          <w:szCs w:val="24"/>
        </w:rPr>
        <w:t>安徽皖维集团物资有限公司</w:t>
      </w:r>
    </w:p>
    <w:p w14:paraId="31F35D8F">
      <w:pPr>
        <w:spacing w:line="360" w:lineRule="auto"/>
        <w:ind w:firstLine="480" w:firstLineChars="200"/>
        <w:jc w:val="right"/>
        <w:rPr>
          <w:rFonts w:hint="eastAsia" w:ascii="宋体" w:hAnsi="宋体" w:eastAsia="宋体" w:cs="仿宋"/>
          <w:sz w:val="24"/>
          <w:szCs w:val="24"/>
        </w:rPr>
      </w:pPr>
      <w:r>
        <w:rPr>
          <w:rFonts w:hint="eastAsia" w:ascii="宋体" w:hAnsi="宋体" w:eastAsia="宋体" w:cs="仿宋"/>
          <w:sz w:val="24"/>
          <w:szCs w:val="24"/>
        </w:rPr>
        <w:t>中捷通信有限公司</w:t>
      </w:r>
    </w:p>
    <w:p w14:paraId="4E964F7A">
      <w:pPr>
        <w:spacing w:line="360" w:lineRule="auto"/>
        <w:jc w:val="right"/>
        <w:rPr>
          <w:rFonts w:hint="eastAsia" w:ascii="宋体" w:hAnsi="宋体" w:eastAsia="宋体" w:cs="仿宋"/>
          <w:sz w:val="24"/>
          <w:szCs w:val="24"/>
        </w:rPr>
      </w:pPr>
      <w:r>
        <w:rPr>
          <w:rFonts w:hint="eastAsia" w:ascii="宋体" w:hAnsi="宋体" w:eastAsia="宋体" w:cs="仿宋"/>
          <w:sz w:val="24"/>
          <w:szCs w:val="24"/>
        </w:rPr>
        <w:t>2026年1月12日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宋体.楶...">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wMDE3NDM2ZjM2MjNmMjYwOTNkMzRiY2VjM2NhNGUifQ=="/>
  </w:docVars>
  <w:rsids>
    <w:rsidRoot w:val="002D241C"/>
    <w:rsid w:val="000269B6"/>
    <w:rsid w:val="00046D58"/>
    <w:rsid w:val="000567B6"/>
    <w:rsid w:val="00070E17"/>
    <w:rsid w:val="0008083A"/>
    <w:rsid w:val="00092CFC"/>
    <w:rsid w:val="000E24B4"/>
    <w:rsid w:val="0010382F"/>
    <w:rsid w:val="00106AC1"/>
    <w:rsid w:val="00106D86"/>
    <w:rsid w:val="0011087E"/>
    <w:rsid w:val="00112C1E"/>
    <w:rsid w:val="001E6303"/>
    <w:rsid w:val="001F0CD6"/>
    <w:rsid w:val="001F3B40"/>
    <w:rsid w:val="00205AEE"/>
    <w:rsid w:val="002859CF"/>
    <w:rsid w:val="002A71FB"/>
    <w:rsid w:val="002D241C"/>
    <w:rsid w:val="002E15BB"/>
    <w:rsid w:val="002E7D49"/>
    <w:rsid w:val="00336813"/>
    <w:rsid w:val="003672F3"/>
    <w:rsid w:val="003852C8"/>
    <w:rsid w:val="003F5E91"/>
    <w:rsid w:val="00402305"/>
    <w:rsid w:val="00405506"/>
    <w:rsid w:val="00427D27"/>
    <w:rsid w:val="0044505C"/>
    <w:rsid w:val="004975C0"/>
    <w:rsid w:val="004D23DA"/>
    <w:rsid w:val="004E4127"/>
    <w:rsid w:val="004F01A1"/>
    <w:rsid w:val="00505E25"/>
    <w:rsid w:val="00506C7F"/>
    <w:rsid w:val="005073BB"/>
    <w:rsid w:val="00510BEF"/>
    <w:rsid w:val="005144BB"/>
    <w:rsid w:val="005221F3"/>
    <w:rsid w:val="00526182"/>
    <w:rsid w:val="0053185A"/>
    <w:rsid w:val="00542BC5"/>
    <w:rsid w:val="00567F5A"/>
    <w:rsid w:val="005879DF"/>
    <w:rsid w:val="005D793C"/>
    <w:rsid w:val="005E0407"/>
    <w:rsid w:val="005E5BBA"/>
    <w:rsid w:val="005F26DE"/>
    <w:rsid w:val="006109BD"/>
    <w:rsid w:val="00611949"/>
    <w:rsid w:val="00614B0C"/>
    <w:rsid w:val="0061528F"/>
    <w:rsid w:val="00615832"/>
    <w:rsid w:val="0061606D"/>
    <w:rsid w:val="00617E1E"/>
    <w:rsid w:val="0062120A"/>
    <w:rsid w:val="006643DE"/>
    <w:rsid w:val="006B2985"/>
    <w:rsid w:val="006C6AEA"/>
    <w:rsid w:val="006F0196"/>
    <w:rsid w:val="00707869"/>
    <w:rsid w:val="00731234"/>
    <w:rsid w:val="0073296E"/>
    <w:rsid w:val="007415DB"/>
    <w:rsid w:val="00742964"/>
    <w:rsid w:val="007438BC"/>
    <w:rsid w:val="00762858"/>
    <w:rsid w:val="00781450"/>
    <w:rsid w:val="007849E8"/>
    <w:rsid w:val="007957DD"/>
    <w:rsid w:val="007F01F2"/>
    <w:rsid w:val="007F5375"/>
    <w:rsid w:val="008067DC"/>
    <w:rsid w:val="00836F45"/>
    <w:rsid w:val="008479AD"/>
    <w:rsid w:val="008846B9"/>
    <w:rsid w:val="008E7A66"/>
    <w:rsid w:val="0091183F"/>
    <w:rsid w:val="009360F4"/>
    <w:rsid w:val="00942092"/>
    <w:rsid w:val="00A34212"/>
    <w:rsid w:val="00A359E3"/>
    <w:rsid w:val="00A456C7"/>
    <w:rsid w:val="00A45E63"/>
    <w:rsid w:val="00A97A18"/>
    <w:rsid w:val="00AB0CE2"/>
    <w:rsid w:val="00B06367"/>
    <w:rsid w:val="00B529CC"/>
    <w:rsid w:val="00B555E9"/>
    <w:rsid w:val="00B57F92"/>
    <w:rsid w:val="00B65868"/>
    <w:rsid w:val="00B94B7B"/>
    <w:rsid w:val="00BA06DC"/>
    <w:rsid w:val="00BB312B"/>
    <w:rsid w:val="00BF1766"/>
    <w:rsid w:val="00C722BF"/>
    <w:rsid w:val="00CD19A7"/>
    <w:rsid w:val="00CE12F4"/>
    <w:rsid w:val="00CF5F5A"/>
    <w:rsid w:val="00D15663"/>
    <w:rsid w:val="00D37CC3"/>
    <w:rsid w:val="00D512F0"/>
    <w:rsid w:val="00D7377A"/>
    <w:rsid w:val="00D84D21"/>
    <w:rsid w:val="00E30202"/>
    <w:rsid w:val="00E66F0D"/>
    <w:rsid w:val="00EA7A48"/>
    <w:rsid w:val="00EF7B98"/>
    <w:rsid w:val="00F013E8"/>
    <w:rsid w:val="00F12561"/>
    <w:rsid w:val="00F22CDC"/>
    <w:rsid w:val="00F4358B"/>
    <w:rsid w:val="00F443C8"/>
    <w:rsid w:val="00F8616B"/>
    <w:rsid w:val="00FA3D83"/>
    <w:rsid w:val="00FA7DA2"/>
    <w:rsid w:val="00FD6054"/>
    <w:rsid w:val="00FE038B"/>
    <w:rsid w:val="04904FA7"/>
    <w:rsid w:val="0932487E"/>
    <w:rsid w:val="0A0766EC"/>
    <w:rsid w:val="0A73514E"/>
    <w:rsid w:val="0DC10DA5"/>
    <w:rsid w:val="0E3C2BEF"/>
    <w:rsid w:val="137D703E"/>
    <w:rsid w:val="17081314"/>
    <w:rsid w:val="249B2C82"/>
    <w:rsid w:val="25E90563"/>
    <w:rsid w:val="290A4A78"/>
    <w:rsid w:val="2AEF6C22"/>
    <w:rsid w:val="2EBA2A9C"/>
    <w:rsid w:val="2FC82F97"/>
    <w:rsid w:val="35B069A7"/>
    <w:rsid w:val="36121410"/>
    <w:rsid w:val="44801C3A"/>
    <w:rsid w:val="45CA7611"/>
    <w:rsid w:val="4AE50A49"/>
    <w:rsid w:val="4D0E4287"/>
    <w:rsid w:val="50821724"/>
    <w:rsid w:val="57664CC0"/>
    <w:rsid w:val="5E7F3778"/>
    <w:rsid w:val="6062071A"/>
    <w:rsid w:val="64B61035"/>
    <w:rsid w:val="67B3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unhideWhenUsed/>
    <w:uiPriority w:val="99"/>
    <w:pPr>
      <w:jc w:val="left"/>
    </w:pPr>
  </w:style>
  <w:style w:type="paragraph" w:styleId="3">
    <w:name w:val="Date"/>
    <w:basedOn w:val="1"/>
    <w:next w:val="1"/>
    <w:link w:val="16"/>
    <w:semiHidden/>
    <w:unhideWhenUsed/>
    <w:uiPriority w:val="99"/>
    <w:pPr>
      <w:ind w:left="100" w:leftChars="250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tabs>
        <w:tab w:val="center" w:pos="4153"/>
        <w:tab w:val="right" w:pos="8306"/>
      </w:tabs>
      <w:snapToGrid w:val="0"/>
      <w:jc w:val="center"/>
    </w:pPr>
    <w:rPr>
      <w:sz w:val="18"/>
      <w:szCs w:val="18"/>
    </w:rPr>
  </w:style>
  <w:style w:type="paragraph" w:styleId="6">
    <w:name w:val="annotation subject"/>
    <w:basedOn w:val="2"/>
    <w:next w:val="2"/>
    <w:link w:val="18"/>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未处理的提及1"/>
    <w:basedOn w:val="9"/>
    <w:semiHidden/>
    <w:unhideWhenUsed/>
    <w:qFormat/>
    <w:uiPriority w:val="99"/>
    <w:rPr>
      <w:color w:val="605E5C"/>
      <w:shd w:val="clear" w:color="auto" w:fill="E1DFDD"/>
    </w:rPr>
  </w:style>
  <w:style w:type="paragraph" w:customStyle="1" w:styleId="15">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6">
    <w:name w:val="日期 字符"/>
    <w:basedOn w:val="9"/>
    <w:link w:val="3"/>
    <w:semiHidden/>
    <w:qFormat/>
    <w:uiPriority w:val="99"/>
    <w:rPr>
      <w:kern w:val="2"/>
      <w:sz w:val="21"/>
      <w:szCs w:val="22"/>
    </w:rPr>
  </w:style>
  <w:style w:type="character" w:customStyle="1" w:styleId="17">
    <w:name w:val="批注文字 字符"/>
    <w:basedOn w:val="9"/>
    <w:link w:val="2"/>
    <w:qFormat/>
    <w:uiPriority w:val="99"/>
    <w:rPr>
      <w:kern w:val="2"/>
      <w:sz w:val="21"/>
      <w:szCs w:val="22"/>
    </w:rPr>
  </w:style>
  <w:style w:type="character" w:customStyle="1" w:styleId="18">
    <w:name w:val="批注主题 字符"/>
    <w:basedOn w:val="17"/>
    <w:link w:val="6"/>
    <w:semiHidden/>
    <w:qFormat/>
    <w:uiPriority w:val="99"/>
    <w:rPr>
      <w:b/>
      <w:bCs/>
      <w:kern w:val="2"/>
      <w:sz w:val="21"/>
      <w:szCs w:val="22"/>
    </w:rPr>
  </w:style>
  <w:style w:type="paragraph" w:customStyle="1" w:styleId="19">
    <w:name w:val="Default"/>
    <w:qFormat/>
    <w:uiPriority w:val="0"/>
    <w:pPr>
      <w:widowControl w:val="0"/>
      <w:autoSpaceDE w:val="0"/>
      <w:autoSpaceDN w:val="0"/>
      <w:adjustRightInd w:val="0"/>
    </w:pPr>
    <w:rPr>
      <w:rFonts w:ascii="宋体.楶..." w:eastAsia="宋体.楶..." w:cs="宋体.楶..."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1652</Words>
  <Characters>1729</Characters>
  <Lines>60</Lines>
  <Paragraphs>30</Paragraphs>
  <TotalTime>3</TotalTime>
  <ScaleCrop>false</ScaleCrop>
  <LinksUpToDate>false</LinksUpToDate>
  <CharactersWithSpaces>1733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2023-12-12T01:32:00Z</dcterms:created>
  <dc:creator>F F</dc:creator>
  <cp:lastModifiedBy>24336</cp:lastModifiedBy>
  <cp:lastPrinted>2025-09-25T02:53:00Z</cp:lastPrinted>
  <dcterms:modified xsi:type="dcterms:W3CDTF">2026-01-12T08:20:38Z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83E6483AD45243E78AD858FD011A34D5_12</vt:lpwstr>
  </property>
  <property fmtid="{D5CDD505-2E9C-101B-9397-08002B2CF9AE}" pid="4" name="KSOTemplateDocerSaveRecord">
    <vt:lpwstr>eyJoZGlkIjoiMDgxYTVjZmM5ZmY3OGU2MDQ4NGJlZGI5ZTlkZjQxN2UiLCJ1c2VySWQiOiIxNjAzNTgxNTkwIn0=</vt:lpwstr>
  </property>
</Properties>
</file>