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4A3A1">
      <w:pPr>
        <w:ind w:firstLine="0" w:firstLineChars="0"/>
        <w:rPr>
          <w:rFonts w:hint="eastAsia" w:asciiTheme="minorEastAsia" w:hAnsiTheme="minorEastAsia" w:eastAsiaTheme="minorEastAsia" w:cstheme="minorEastAsia"/>
          <w:highlight w:val="none"/>
          <w:shd w:val="clear" w:color="auto" w:fill="auto"/>
        </w:rPr>
      </w:pPr>
      <w:bookmarkStart w:id="0" w:name="_Toc337497084"/>
      <w:bookmarkStart w:id="1" w:name="_Toc328656275"/>
      <w:r>
        <w:rPr>
          <w:rFonts w:hint="eastAsia" w:asciiTheme="minorEastAsia" w:hAnsiTheme="minorEastAsia" w:eastAsiaTheme="minorEastAsia" w:cstheme="minorEastAsia"/>
          <w:highlight w:val="none"/>
          <w:shd w:val="clear" w:color="auto" w:fill="auto"/>
        </w:rPr>
        <w:drawing>
          <wp:anchor distT="0" distB="0" distL="114300" distR="114300" simplePos="0" relativeHeight="251659264" behindDoc="0" locked="0" layoutInCell="1" allowOverlap="1">
            <wp:simplePos x="0" y="0"/>
            <wp:positionH relativeFrom="column">
              <wp:posOffset>0</wp:posOffset>
            </wp:positionH>
            <wp:positionV relativeFrom="paragraph">
              <wp:posOffset>82550</wp:posOffset>
            </wp:positionV>
            <wp:extent cx="1813560" cy="530860"/>
            <wp:effectExtent l="0" t="0" r="0" b="254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a:lum bright="-28000" contrast="62000"/>
                    </a:blip>
                    <a:srcRect/>
                    <a:stretch>
                      <a:fillRect/>
                    </a:stretch>
                  </pic:blipFill>
                  <pic:spPr>
                    <a:xfrm>
                      <a:off x="0" y="0"/>
                      <a:ext cx="1813560" cy="530860"/>
                    </a:xfrm>
                    <a:prstGeom prst="rect">
                      <a:avLst/>
                    </a:prstGeom>
                    <a:solidFill>
                      <a:srgbClr val="000000"/>
                    </a:solidFill>
                  </pic:spPr>
                </pic:pic>
              </a:graphicData>
            </a:graphic>
          </wp:anchor>
        </w:drawing>
      </w:r>
    </w:p>
    <w:p w14:paraId="3442050E">
      <w:pPr>
        <w:ind w:firstLine="480"/>
        <w:rPr>
          <w:rFonts w:hint="eastAsia" w:asciiTheme="minorEastAsia" w:hAnsiTheme="minorEastAsia" w:eastAsiaTheme="minorEastAsia" w:cstheme="minorEastAsia"/>
          <w:highlight w:val="none"/>
          <w:shd w:val="clear" w:color="auto" w:fill="auto"/>
        </w:rPr>
      </w:pPr>
    </w:p>
    <w:p w14:paraId="241A2C00">
      <w:pPr>
        <w:ind w:left="-708" w:leftChars="-295" w:firstLine="0" w:firstLineChars="0"/>
        <w:rPr>
          <w:rFonts w:hint="eastAsia" w:asciiTheme="minorEastAsia" w:hAnsiTheme="minorEastAsia" w:eastAsiaTheme="minorEastAsia" w:cstheme="minorEastAsia"/>
          <w:highlight w:val="none"/>
          <w:shd w:val="clear" w:color="auto" w:fill="auto"/>
        </w:rPr>
      </w:pPr>
    </w:p>
    <w:p w14:paraId="37482517">
      <w:pPr>
        <w:ind w:firstLine="180" w:firstLineChars="47"/>
        <w:jc w:val="center"/>
        <w:rPr>
          <w:rFonts w:hint="eastAsia" w:asciiTheme="minorEastAsia" w:hAnsiTheme="minorEastAsia" w:eastAsiaTheme="minorEastAsia" w:cstheme="minorEastAsia"/>
          <w:b/>
          <w:spacing w:val="11"/>
          <w:sz w:val="36"/>
          <w:szCs w:val="36"/>
          <w:highlight w:val="none"/>
          <w:shd w:val="clear" w:color="auto" w:fill="auto"/>
        </w:rPr>
      </w:pPr>
      <w:r>
        <w:rPr>
          <w:rFonts w:hint="eastAsia" w:asciiTheme="minorEastAsia" w:hAnsiTheme="minorEastAsia" w:eastAsiaTheme="minorEastAsia" w:cstheme="minorEastAsia"/>
          <w:b/>
          <w:spacing w:val="11"/>
          <w:sz w:val="36"/>
          <w:szCs w:val="36"/>
          <w:highlight w:val="none"/>
          <w:shd w:val="clear" w:color="auto" w:fill="auto"/>
        </w:rPr>
        <w:t>中国移动（浙江）创新研究院</w:t>
      </w:r>
    </w:p>
    <w:p w14:paraId="463E40E9">
      <w:pPr>
        <w:ind w:firstLine="180" w:firstLineChars="47"/>
        <w:jc w:val="center"/>
        <w:rPr>
          <w:rFonts w:hint="eastAsia" w:asciiTheme="minorEastAsia" w:hAnsiTheme="minorEastAsia" w:eastAsiaTheme="minorEastAsia" w:cstheme="minorEastAsia"/>
          <w:b/>
          <w:spacing w:val="11"/>
          <w:sz w:val="36"/>
          <w:szCs w:val="36"/>
          <w:highlight w:val="none"/>
          <w:shd w:val="clear" w:color="auto" w:fill="auto"/>
        </w:rPr>
      </w:pPr>
      <w:r>
        <w:rPr>
          <w:rFonts w:hint="eastAsia" w:asciiTheme="minorEastAsia" w:hAnsiTheme="minorEastAsia" w:eastAsiaTheme="minorEastAsia" w:cstheme="minorEastAsia"/>
          <w:b/>
          <w:spacing w:val="11"/>
          <w:sz w:val="36"/>
          <w:szCs w:val="36"/>
          <w:highlight w:val="none"/>
          <w:shd w:val="clear" w:color="auto" w:fill="auto"/>
        </w:rPr>
        <w:t>202</w:t>
      </w:r>
      <w:r>
        <w:rPr>
          <w:rFonts w:hint="eastAsia" w:asciiTheme="minorEastAsia" w:hAnsiTheme="minorEastAsia" w:eastAsiaTheme="minorEastAsia" w:cstheme="minorEastAsia"/>
          <w:b/>
          <w:spacing w:val="11"/>
          <w:sz w:val="36"/>
          <w:szCs w:val="36"/>
          <w:highlight w:val="none"/>
          <w:shd w:val="clear" w:color="auto" w:fill="auto"/>
          <w:lang w:val="en-US" w:eastAsia="zh-CN"/>
        </w:rPr>
        <w:t>6</w:t>
      </w:r>
      <w:r>
        <w:rPr>
          <w:rFonts w:hint="eastAsia" w:asciiTheme="minorEastAsia" w:hAnsiTheme="minorEastAsia" w:eastAsiaTheme="minorEastAsia" w:cstheme="minorEastAsia"/>
          <w:b/>
          <w:spacing w:val="11"/>
          <w:sz w:val="36"/>
          <w:szCs w:val="36"/>
          <w:highlight w:val="none"/>
          <w:shd w:val="clear" w:color="auto" w:fill="auto"/>
        </w:rPr>
        <w:t>-202</w:t>
      </w:r>
      <w:r>
        <w:rPr>
          <w:rFonts w:hint="eastAsia" w:asciiTheme="minorEastAsia" w:hAnsiTheme="minorEastAsia" w:eastAsiaTheme="minorEastAsia" w:cstheme="minorEastAsia"/>
          <w:b/>
          <w:spacing w:val="11"/>
          <w:sz w:val="36"/>
          <w:szCs w:val="36"/>
          <w:highlight w:val="none"/>
          <w:shd w:val="clear" w:color="auto" w:fill="auto"/>
          <w:lang w:val="en-US" w:eastAsia="zh-CN"/>
        </w:rPr>
        <w:t>7AI模型服务</w:t>
      </w:r>
      <w:r>
        <w:rPr>
          <w:rFonts w:hint="eastAsia" w:asciiTheme="minorEastAsia" w:hAnsiTheme="minorEastAsia" w:eastAsiaTheme="minorEastAsia" w:cstheme="minorEastAsia"/>
          <w:b/>
          <w:spacing w:val="11"/>
          <w:sz w:val="36"/>
          <w:szCs w:val="36"/>
          <w:highlight w:val="none"/>
          <w:shd w:val="clear" w:color="auto" w:fill="auto"/>
        </w:rPr>
        <w:t>类产品</w:t>
      </w:r>
      <w:r>
        <w:rPr>
          <w:rFonts w:hint="eastAsia" w:asciiTheme="minorEastAsia" w:hAnsiTheme="minorEastAsia" w:eastAsiaTheme="minorEastAsia" w:cstheme="minorEastAsia"/>
          <w:b/>
          <w:spacing w:val="11"/>
          <w:sz w:val="36"/>
          <w:szCs w:val="36"/>
          <w:highlight w:val="none"/>
          <w:shd w:val="clear" w:color="auto" w:fill="auto"/>
          <w:lang w:val="en-US" w:eastAsia="zh-CN"/>
        </w:rPr>
        <w:t>技术</w:t>
      </w:r>
      <w:r>
        <w:rPr>
          <w:rFonts w:hint="eastAsia" w:asciiTheme="minorEastAsia" w:hAnsiTheme="minorEastAsia" w:eastAsiaTheme="minorEastAsia" w:cstheme="minorEastAsia"/>
          <w:b/>
          <w:spacing w:val="11"/>
          <w:sz w:val="36"/>
          <w:szCs w:val="36"/>
          <w:highlight w:val="none"/>
          <w:shd w:val="clear" w:color="auto" w:fill="auto"/>
        </w:rPr>
        <w:t>支撑服务项目</w:t>
      </w:r>
    </w:p>
    <w:p w14:paraId="3C4D959D">
      <w:pPr>
        <w:ind w:left="-708" w:leftChars="-295" w:firstLine="0" w:firstLineChars="0"/>
        <w:rPr>
          <w:rFonts w:hint="eastAsia" w:asciiTheme="minorEastAsia" w:hAnsiTheme="minorEastAsia" w:eastAsiaTheme="minorEastAsia" w:cstheme="minorEastAsia"/>
          <w:highlight w:val="none"/>
          <w:shd w:val="clear" w:color="auto" w:fill="auto"/>
        </w:rPr>
      </w:pPr>
    </w:p>
    <w:p w14:paraId="7067770F">
      <w:pPr>
        <w:ind w:left="-708" w:leftChars="-295" w:firstLine="0" w:firstLineChars="0"/>
        <w:rPr>
          <w:rFonts w:hint="eastAsia" w:asciiTheme="minorEastAsia" w:hAnsiTheme="minorEastAsia" w:eastAsiaTheme="minorEastAsia" w:cstheme="minorEastAsia"/>
          <w:highlight w:val="none"/>
          <w:shd w:val="clear" w:color="auto" w:fill="auto"/>
        </w:rPr>
      </w:pPr>
    </w:p>
    <w:p w14:paraId="7C036708">
      <w:pPr>
        <w:ind w:left="-708" w:leftChars="-295" w:firstLine="0" w:firstLineChars="0"/>
        <w:rPr>
          <w:rFonts w:hint="eastAsia" w:asciiTheme="minorEastAsia" w:hAnsiTheme="minorEastAsia" w:eastAsiaTheme="minorEastAsia" w:cstheme="minorEastAsia"/>
          <w:highlight w:val="none"/>
          <w:shd w:val="clear" w:color="auto" w:fill="auto"/>
        </w:rPr>
      </w:pPr>
    </w:p>
    <w:p w14:paraId="1D9C5B7B">
      <w:pPr>
        <w:ind w:left="-708" w:leftChars="-295" w:firstLine="0" w:firstLineChars="0"/>
        <w:rPr>
          <w:rFonts w:hint="eastAsia" w:asciiTheme="minorEastAsia" w:hAnsiTheme="minorEastAsia" w:eastAsiaTheme="minorEastAsia" w:cstheme="minorEastAsia"/>
          <w:highlight w:val="none"/>
          <w:shd w:val="clear" w:color="auto" w:fill="auto"/>
        </w:rPr>
      </w:pPr>
    </w:p>
    <w:p w14:paraId="2B32A963">
      <w:pPr>
        <w:snapToGrid w:val="0"/>
        <w:spacing w:after="97" w:afterLines="30"/>
        <w:ind w:left="-708" w:leftChars="-295" w:firstLine="0" w:firstLineChars="0"/>
        <w:jc w:val="center"/>
        <w:rPr>
          <w:rFonts w:hint="eastAsia" w:asciiTheme="minorEastAsia" w:hAnsiTheme="minorEastAsia" w:eastAsiaTheme="minorEastAsia" w:cstheme="minorEastAsia"/>
          <w:bCs/>
          <w:sz w:val="100"/>
          <w:szCs w:val="100"/>
          <w:highlight w:val="none"/>
          <w:shd w:val="clear" w:color="auto" w:fill="auto"/>
        </w:rPr>
      </w:pPr>
      <w:r>
        <w:rPr>
          <w:rFonts w:hint="eastAsia" w:asciiTheme="minorEastAsia" w:hAnsiTheme="minorEastAsia" w:eastAsiaTheme="minorEastAsia" w:cstheme="minorEastAsia"/>
          <w:bCs/>
          <w:sz w:val="100"/>
          <w:szCs w:val="100"/>
          <w:highlight w:val="none"/>
          <w:shd w:val="clear" w:color="auto" w:fill="auto"/>
        </w:rPr>
        <w:t>技术规范书</w:t>
      </w:r>
    </w:p>
    <w:p w14:paraId="12836DAD">
      <w:pPr>
        <w:ind w:left="-708" w:leftChars="-295" w:firstLine="0" w:firstLineChars="0"/>
        <w:rPr>
          <w:rFonts w:hint="eastAsia" w:asciiTheme="minorEastAsia" w:hAnsiTheme="minorEastAsia" w:eastAsiaTheme="minorEastAsia" w:cstheme="minorEastAsia"/>
          <w:highlight w:val="none"/>
          <w:shd w:val="clear" w:color="auto" w:fill="auto"/>
        </w:rPr>
      </w:pPr>
    </w:p>
    <w:p w14:paraId="360C4C5C">
      <w:pPr>
        <w:ind w:left="-708" w:leftChars="-295" w:firstLine="0" w:firstLineChars="0"/>
        <w:rPr>
          <w:rFonts w:hint="eastAsia" w:asciiTheme="minorEastAsia" w:hAnsiTheme="minorEastAsia" w:eastAsiaTheme="minorEastAsia" w:cstheme="minorEastAsia"/>
          <w:highlight w:val="none"/>
          <w:shd w:val="clear" w:color="auto" w:fill="auto"/>
        </w:rPr>
      </w:pPr>
    </w:p>
    <w:p w14:paraId="4861CDE3">
      <w:pPr>
        <w:ind w:left="-708" w:leftChars="-295" w:firstLine="0" w:firstLineChars="0"/>
        <w:rPr>
          <w:rFonts w:hint="eastAsia" w:asciiTheme="minorEastAsia" w:hAnsiTheme="minorEastAsia" w:eastAsiaTheme="minorEastAsia" w:cstheme="minorEastAsia"/>
          <w:highlight w:val="none"/>
          <w:shd w:val="clear" w:color="auto" w:fill="auto"/>
        </w:rPr>
      </w:pPr>
    </w:p>
    <w:p w14:paraId="3C36F572">
      <w:pPr>
        <w:ind w:left="-708" w:leftChars="-295" w:firstLine="0" w:firstLineChars="0"/>
        <w:rPr>
          <w:rFonts w:hint="eastAsia" w:asciiTheme="minorEastAsia" w:hAnsiTheme="minorEastAsia" w:eastAsiaTheme="minorEastAsia" w:cstheme="minorEastAsia"/>
          <w:highlight w:val="none"/>
          <w:shd w:val="clear" w:color="auto" w:fill="auto"/>
        </w:rPr>
      </w:pPr>
    </w:p>
    <w:p w14:paraId="73C49D7D">
      <w:pPr>
        <w:ind w:left="-708" w:leftChars="-295" w:firstLine="0" w:firstLineChars="0"/>
        <w:rPr>
          <w:rFonts w:hint="eastAsia" w:asciiTheme="minorEastAsia" w:hAnsiTheme="minorEastAsia" w:eastAsiaTheme="minorEastAsia" w:cstheme="minorEastAsia"/>
          <w:highlight w:val="none"/>
          <w:shd w:val="clear" w:color="auto" w:fill="auto"/>
        </w:rPr>
      </w:pPr>
    </w:p>
    <w:p w14:paraId="5E5AFB39">
      <w:pPr>
        <w:ind w:left="-708" w:leftChars="-295" w:firstLine="0" w:firstLineChars="0"/>
        <w:rPr>
          <w:rFonts w:hint="eastAsia" w:asciiTheme="minorEastAsia" w:hAnsiTheme="minorEastAsia" w:eastAsiaTheme="minorEastAsia" w:cstheme="minorEastAsia"/>
          <w:highlight w:val="none"/>
          <w:shd w:val="clear" w:color="auto" w:fill="auto"/>
        </w:rPr>
      </w:pPr>
    </w:p>
    <w:p w14:paraId="08BE54CC">
      <w:pPr>
        <w:ind w:left="-708" w:leftChars="-295" w:firstLine="0" w:firstLineChars="0"/>
        <w:rPr>
          <w:rFonts w:hint="eastAsia" w:asciiTheme="minorEastAsia" w:hAnsiTheme="minorEastAsia" w:eastAsiaTheme="minorEastAsia" w:cstheme="minorEastAsia"/>
          <w:highlight w:val="none"/>
          <w:shd w:val="clear" w:color="auto" w:fill="auto"/>
        </w:rPr>
      </w:pPr>
    </w:p>
    <w:p w14:paraId="456DBFE8">
      <w:pPr>
        <w:tabs>
          <w:tab w:val="left" w:pos="540"/>
        </w:tabs>
        <w:ind w:left="-708" w:leftChars="-295" w:firstLine="640"/>
        <w:jc w:val="center"/>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pPr>
      <w:r>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t>中国移动（浙江）创新研究院</w:t>
      </w:r>
    </w:p>
    <w:p w14:paraId="751FE29B">
      <w:pPr>
        <w:tabs>
          <w:tab w:val="left" w:pos="540"/>
        </w:tabs>
        <w:ind w:left="-708" w:leftChars="-295" w:firstLine="4160" w:firstLineChars="1300"/>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pPr>
      <w:r>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t>202</w:t>
      </w:r>
      <w:r>
        <w:rPr>
          <w:rFonts w:hint="eastAsia" w:asciiTheme="minorEastAsia" w:hAnsiTheme="minorEastAsia" w:eastAsiaTheme="minorEastAsia" w:cstheme="minorEastAsia"/>
          <w:bCs/>
          <w:color w:val="000000" w:themeColor="text1"/>
          <w:sz w:val="32"/>
          <w:szCs w:val="32"/>
          <w:highlight w:val="none"/>
          <w:shd w:val="clear" w:color="auto" w:fill="auto"/>
          <w:lang w:val="en-US" w:eastAsia="zh-CN"/>
          <w14:textFill>
            <w14:solidFill>
              <w14:schemeClr w14:val="tx1"/>
            </w14:solidFill>
          </w14:textFill>
        </w:rPr>
        <w:t>6</w:t>
      </w:r>
      <w:r>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t>年</w:t>
      </w:r>
      <w:r>
        <w:rPr>
          <w:rFonts w:hint="eastAsia" w:asciiTheme="minorEastAsia" w:hAnsiTheme="minorEastAsia" w:eastAsiaTheme="minorEastAsia" w:cstheme="minorEastAsia"/>
          <w:bCs/>
          <w:color w:val="000000" w:themeColor="text1"/>
          <w:sz w:val="32"/>
          <w:szCs w:val="32"/>
          <w:highlight w:val="none"/>
          <w:shd w:val="clear" w:color="auto" w:fill="auto"/>
          <w:lang w:val="en-US" w:eastAsia="zh-CN"/>
          <w14:textFill>
            <w14:solidFill>
              <w14:schemeClr w14:val="tx1"/>
            </w14:solidFill>
          </w14:textFill>
        </w:rPr>
        <w:t>7</w:t>
      </w:r>
      <w:r>
        <w:rPr>
          <w:rFonts w:hint="eastAsia" w:asciiTheme="minorEastAsia" w:hAnsiTheme="minorEastAsia" w:eastAsiaTheme="minorEastAsia" w:cstheme="minorEastAsia"/>
          <w:bCs/>
          <w:color w:val="000000" w:themeColor="text1"/>
          <w:sz w:val="32"/>
          <w:szCs w:val="32"/>
          <w:highlight w:val="none"/>
          <w:shd w:val="clear" w:color="auto" w:fill="auto"/>
          <w14:textFill>
            <w14:solidFill>
              <w14:schemeClr w14:val="tx1"/>
            </w14:solidFill>
          </w14:textFill>
        </w:rPr>
        <w:t>月</w:t>
      </w:r>
    </w:p>
    <w:p w14:paraId="24CE1841">
      <w:pPr>
        <w:widowControl/>
        <w:ind w:firstLine="0" w:firstLineChars="0"/>
        <w:rPr>
          <w:rFonts w:hint="eastAsia" w:asciiTheme="minorEastAsia" w:hAnsiTheme="minorEastAsia" w:eastAsiaTheme="minorEastAsia" w:cstheme="minorEastAsia"/>
          <w:highlight w:val="none"/>
          <w:shd w:val="clear" w:color="auto" w:fill="auto"/>
        </w:rPr>
      </w:pPr>
    </w:p>
    <w:bookmarkEnd w:id="0"/>
    <w:bookmarkEnd w:id="1"/>
    <w:p w14:paraId="7435C3E9">
      <w:pPr>
        <w:pStyle w:val="2"/>
        <w:numPr>
          <w:ilvl w:val="0"/>
          <w:numId w:val="2"/>
        </w:numPr>
        <w:rPr>
          <w:rFonts w:hint="eastAsia" w:asciiTheme="minorEastAsia" w:hAnsiTheme="minorEastAsia" w:eastAsiaTheme="minorEastAsia" w:cstheme="minorEastAsia"/>
          <w:sz w:val="30"/>
          <w:szCs w:val="30"/>
          <w:highlight w:val="none"/>
          <w:shd w:val="clear" w:color="auto" w:fill="auto"/>
        </w:rPr>
      </w:pPr>
      <w:r>
        <w:rPr>
          <w:rFonts w:hint="eastAsia" w:asciiTheme="minorEastAsia" w:hAnsiTheme="minorEastAsia" w:eastAsiaTheme="minorEastAsia" w:cstheme="minorEastAsia"/>
          <w:sz w:val="30"/>
          <w:szCs w:val="30"/>
          <w:highlight w:val="none"/>
          <w:shd w:val="clear" w:color="auto" w:fill="auto"/>
        </w:rPr>
        <w:t>编写目的</w:t>
      </w:r>
    </w:p>
    <w:p w14:paraId="36BA2172">
      <w:pPr>
        <w:spacing w:before="240"/>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创新院坚持以市场需求为核心导向，</w:t>
      </w:r>
      <w:r>
        <w:rPr>
          <w:rFonts w:hint="eastAsia" w:asciiTheme="minorEastAsia" w:hAnsiTheme="minorEastAsia" w:eastAsiaTheme="minorEastAsia" w:cstheme="minorEastAsia"/>
          <w:highlight w:val="none"/>
          <w:shd w:val="clear" w:color="auto" w:fill="auto"/>
          <w:lang w:val="en-US" w:eastAsia="zh-CN"/>
        </w:rPr>
        <w:t>积极推进</w:t>
      </w:r>
      <w:r>
        <w:rPr>
          <w:rFonts w:hint="eastAsia" w:asciiTheme="minorEastAsia" w:hAnsiTheme="minorEastAsia" w:eastAsiaTheme="minorEastAsia" w:cstheme="minorEastAsia"/>
          <w:highlight w:val="none"/>
          <w:shd w:val="clear" w:color="auto" w:fill="auto"/>
        </w:rPr>
        <w:t>AI技术与各类业务场景的融合落地。产品布局层面，持续</w:t>
      </w:r>
      <w:r>
        <w:rPr>
          <w:rFonts w:hint="eastAsia" w:asciiTheme="minorEastAsia" w:hAnsiTheme="minorEastAsia" w:eastAsiaTheme="minorEastAsia" w:cstheme="minorEastAsia"/>
          <w:highlight w:val="none"/>
          <w:shd w:val="clear" w:color="auto" w:fill="auto"/>
          <w:lang w:val="en-US" w:eastAsia="zh-CN"/>
        </w:rPr>
        <w:t>孵化智能体MaaS平台</w:t>
      </w:r>
      <w:r>
        <w:rPr>
          <w:rFonts w:hint="eastAsia" w:asciiTheme="minorEastAsia" w:hAnsiTheme="minorEastAsia" w:eastAsiaTheme="minorEastAsia" w:cstheme="minorEastAsia"/>
          <w:highlight w:val="none"/>
          <w:shd w:val="clear" w:color="auto" w:fill="auto"/>
        </w:rPr>
        <w:t>、视觉</w:t>
      </w:r>
      <w:r>
        <w:rPr>
          <w:rFonts w:hint="eastAsia" w:asciiTheme="minorEastAsia" w:hAnsiTheme="minorEastAsia" w:eastAsiaTheme="minorEastAsia" w:cstheme="minorEastAsia"/>
          <w:highlight w:val="none"/>
          <w:shd w:val="clear" w:color="auto" w:fill="auto"/>
          <w:lang w:val="en-US" w:eastAsia="zh-CN"/>
        </w:rPr>
        <w:t>能力平台</w:t>
      </w:r>
      <w:r>
        <w:rPr>
          <w:rFonts w:hint="eastAsia" w:asciiTheme="minorEastAsia" w:hAnsiTheme="minorEastAsia" w:eastAsiaTheme="minorEastAsia" w:cstheme="minorEastAsia"/>
          <w:highlight w:val="none"/>
          <w:shd w:val="clear" w:color="auto" w:fill="auto"/>
        </w:rPr>
        <w:t>、审计安全</w:t>
      </w:r>
      <w:r>
        <w:rPr>
          <w:rFonts w:hint="eastAsia" w:asciiTheme="minorEastAsia" w:hAnsiTheme="minorEastAsia" w:eastAsiaTheme="minorEastAsia" w:cstheme="minorEastAsia"/>
          <w:highlight w:val="none"/>
          <w:shd w:val="clear" w:color="auto" w:fill="auto"/>
          <w:lang w:val="en-US" w:eastAsia="zh-CN"/>
        </w:rPr>
        <w:t>平台</w:t>
      </w:r>
      <w:r>
        <w:rPr>
          <w:rFonts w:hint="eastAsia" w:asciiTheme="minorEastAsia" w:hAnsiTheme="minorEastAsia" w:eastAsiaTheme="minorEastAsia" w:cstheme="minorEastAsia"/>
          <w:highlight w:val="none"/>
          <w:shd w:val="clear" w:color="auto" w:fill="auto"/>
        </w:rPr>
        <w:t>等核心</w:t>
      </w:r>
      <w:r>
        <w:rPr>
          <w:rFonts w:hint="eastAsia" w:asciiTheme="minorEastAsia" w:hAnsiTheme="minorEastAsia" w:eastAsiaTheme="minorEastAsia" w:cstheme="minorEastAsia"/>
          <w:highlight w:val="none"/>
          <w:shd w:val="clear" w:color="auto" w:fill="auto"/>
          <w:lang w:val="en-US" w:eastAsia="zh-CN"/>
        </w:rPr>
        <w:t>产品，深耕办公、智慧零售、安防、安全、工业等多个场景</w:t>
      </w:r>
      <w:r>
        <w:rPr>
          <w:rFonts w:hint="eastAsia" w:asciiTheme="minorEastAsia" w:hAnsiTheme="minorEastAsia" w:eastAsiaTheme="minorEastAsia" w:cstheme="minorEastAsia"/>
          <w:highlight w:val="none"/>
          <w:shd w:val="clear" w:color="auto" w:fill="auto"/>
        </w:rPr>
        <w:t>。</w:t>
      </w:r>
      <w:r>
        <w:rPr>
          <w:rFonts w:hint="eastAsia" w:asciiTheme="minorEastAsia" w:hAnsiTheme="minorEastAsia" w:eastAsiaTheme="minorEastAsia" w:cstheme="minorEastAsia"/>
          <w:highlight w:val="none"/>
          <w:shd w:val="clear" w:color="auto" w:fill="auto"/>
          <w:lang w:val="en-US" w:eastAsia="zh-CN"/>
        </w:rPr>
        <w:t>为</w:t>
      </w:r>
      <w:r>
        <w:rPr>
          <w:rFonts w:hint="eastAsia" w:asciiTheme="minorEastAsia" w:hAnsiTheme="minorEastAsia" w:eastAsiaTheme="minorEastAsia" w:cstheme="minorEastAsia"/>
          <w:highlight w:val="none"/>
          <w:shd w:val="clear" w:color="auto" w:fill="auto"/>
        </w:rPr>
        <w:t>充分释放AI模型服务市场价值、提升商业线索转化效率，全力搭建集技术支撑、运营支撑于一体的综合服务体系。依托该体系高效协同运转，叠加常态化产品迭代优化，持续提升市场需求快速响应能力，稳步实现经营效益增长，面向政企客户输出高价值、一体化AI解决方案。</w:t>
      </w:r>
    </w:p>
    <w:p w14:paraId="7D586694">
      <w:pPr>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本要求即为中国移动（浙江）创新研究院（以下简称甲方）针对</w:t>
      </w:r>
      <w:r>
        <w:rPr>
          <w:rFonts w:hint="eastAsia" w:asciiTheme="minorEastAsia" w:hAnsiTheme="minorEastAsia" w:eastAsiaTheme="minorEastAsia" w:cstheme="minorEastAsia"/>
          <w:highlight w:val="none"/>
          <w:shd w:val="clear" w:color="auto" w:fill="auto"/>
          <w:lang w:eastAsia="zh-CN"/>
        </w:rPr>
        <w:t>2026-2027AI模型服务类产品技术支撑服务项目</w:t>
      </w:r>
      <w:r>
        <w:rPr>
          <w:rFonts w:hint="eastAsia" w:asciiTheme="minorEastAsia" w:hAnsiTheme="minorEastAsia" w:eastAsiaTheme="minorEastAsia" w:cstheme="minorEastAsia"/>
          <w:highlight w:val="none"/>
          <w:shd w:val="clear" w:color="auto" w:fill="auto"/>
        </w:rPr>
        <w:t>第三方（以下简称乙方）制定的服务要求和标准。其目的在于有效规范乙方所提供的技术支撑服务内容及质量，并作为甲方评价乙方所提供技术支撑服务的依据，</w:t>
      </w:r>
      <w:r>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t>保证甲方更为合理的选择和使用相关技术支撑服务</w:t>
      </w:r>
      <w:r>
        <w:rPr>
          <w:rFonts w:hint="eastAsia" w:asciiTheme="minorEastAsia" w:hAnsiTheme="minorEastAsia" w:eastAsiaTheme="minorEastAsia" w:cstheme="minorEastAsia"/>
          <w:highlight w:val="none"/>
          <w:shd w:val="clear" w:color="auto" w:fill="auto"/>
        </w:rPr>
        <w:t>。</w:t>
      </w:r>
    </w:p>
    <w:p w14:paraId="68B143E9">
      <w:pPr>
        <w:pStyle w:val="2"/>
        <w:numPr>
          <w:ilvl w:val="0"/>
          <w:numId w:val="2"/>
        </w:numPr>
        <w:rPr>
          <w:rFonts w:hint="eastAsia" w:asciiTheme="minorEastAsia" w:hAnsiTheme="minorEastAsia" w:eastAsiaTheme="minorEastAsia" w:cstheme="minorEastAsia"/>
          <w:sz w:val="30"/>
          <w:szCs w:val="30"/>
          <w:highlight w:val="none"/>
          <w:shd w:val="clear" w:color="auto" w:fill="auto"/>
        </w:rPr>
      </w:pPr>
      <w:r>
        <w:rPr>
          <w:rFonts w:hint="eastAsia" w:asciiTheme="minorEastAsia" w:hAnsiTheme="minorEastAsia" w:eastAsiaTheme="minorEastAsia" w:cstheme="minorEastAsia"/>
          <w:sz w:val="30"/>
          <w:szCs w:val="30"/>
          <w:highlight w:val="none"/>
          <w:shd w:val="clear" w:color="auto" w:fill="auto"/>
        </w:rPr>
        <w:t>总则</w:t>
      </w:r>
    </w:p>
    <w:p w14:paraId="61619E8B">
      <w:pPr>
        <w:ind w:firstLine="199" w:firstLineChars="83"/>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1、甲方计划购买</w:t>
      </w:r>
      <w:r>
        <w:rPr>
          <w:rFonts w:hint="eastAsia" w:asciiTheme="minorEastAsia" w:hAnsiTheme="minorEastAsia" w:eastAsiaTheme="minorEastAsia" w:cstheme="minorEastAsia"/>
          <w:highlight w:val="none"/>
          <w:shd w:val="clear" w:color="auto" w:fill="auto"/>
          <w:lang w:eastAsia="zh-CN"/>
        </w:rPr>
        <w:t>2026-2027AI模型服务类产品技术支撑服务</w:t>
      </w:r>
      <w:r>
        <w:rPr>
          <w:rFonts w:hint="eastAsia" w:asciiTheme="minorEastAsia" w:hAnsiTheme="minorEastAsia" w:eastAsiaTheme="minorEastAsia" w:cstheme="minorEastAsia"/>
          <w:highlight w:val="none"/>
          <w:shd w:val="clear" w:color="auto" w:fill="auto"/>
        </w:rPr>
        <w:t>，为规范乙方的服务内容，特制定本技术规范书。</w:t>
      </w:r>
    </w:p>
    <w:p w14:paraId="54EE21B4">
      <w:pPr>
        <w:ind w:firstLine="199" w:firstLineChars="83"/>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2、乙方应按照本规范书的要求提供详细的技术应答文件和相应的报价。乙方提供的各项服务内容及技术人员资质和技能应满足或高于甲方提出的要求。</w:t>
      </w:r>
    </w:p>
    <w:p w14:paraId="5AC6AD59">
      <w:pPr>
        <w:ind w:firstLine="199" w:firstLineChars="83"/>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3、若本技术规范书有未提到或遗漏的服务要求，乙方请给出具体建议，并陈述理由及相应的技术解决方案。</w:t>
      </w:r>
    </w:p>
    <w:p w14:paraId="531CC23C">
      <w:pPr>
        <w:ind w:firstLine="199" w:firstLineChars="83"/>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4、乙方必须承诺所提供的公司相关材料和证明文件以及所包含相关技术人员信息等内容的准确性，如发现有弄虚作假的乙方将被否决应答，且甲方有权追究乙方责任。</w:t>
      </w:r>
    </w:p>
    <w:p w14:paraId="531C884D">
      <w:pPr>
        <w:pStyle w:val="2"/>
        <w:numPr>
          <w:ilvl w:val="0"/>
          <w:numId w:val="2"/>
        </w:numPr>
        <w:rPr>
          <w:rFonts w:hint="eastAsia" w:asciiTheme="minorEastAsia" w:hAnsiTheme="minorEastAsia" w:eastAsiaTheme="minorEastAsia" w:cstheme="minorEastAsia"/>
          <w:sz w:val="30"/>
          <w:szCs w:val="30"/>
          <w:highlight w:val="none"/>
          <w:shd w:val="clear" w:color="auto" w:fill="auto"/>
        </w:rPr>
      </w:pPr>
      <w:r>
        <w:rPr>
          <w:rFonts w:hint="eastAsia" w:asciiTheme="minorEastAsia" w:hAnsiTheme="minorEastAsia" w:eastAsiaTheme="minorEastAsia" w:cstheme="minorEastAsia"/>
          <w:sz w:val="30"/>
          <w:szCs w:val="30"/>
          <w:highlight w:val="none"/>
          <w:shd w:val="clear" w:color="auto" w:fill="auto"/>
        </w:rPr>
        <w:t>技术支撑服务内容要求</w:t>
      </w:r>
    </w:p>
    <w:p w14:paraId="15122788">
      <w:pPr>
        <w:numPr>
          <w:ilvl w:val="0"/>
          <w:numId w:val="3"/>
        </w:num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服务范围</w:t>
      </w:r>
    </w:p>
    <w:p w14:paraId="6F113714">
      <w:pPr>
        <w:ind w:firstLine="480"/>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pPr>
      <w:bookmarkStart w:id="2" w:name="_Toc93371144"/>
      <w:bookmarkStart w:id="3" w:name="_Toc68939684"/>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本项目服务范围主要是针对</w:t>
      </w:r>
      <w:r>
        <w:rPr>
          <w:rFonts w:hint="eastAsia" w:asciiTheme="minorEastAsia" w:hAnsiTheme="minorEastAsia" w:eastAsiaTheme="minorEastAsia" w:cstheme="minorEastAsia"/>
          <w:color w:val="000000" w:themeColor="text1"/>
          <w:highlight w:val="none"/>
          <w:shd w:val="clear" w:color="auto" w:fill="auto"/>
          <w:lang w:eastAsia="zh-CN"/>
          <w14:textFill>
            <w14:solidFill>
              <w14:schemeClr w14:val="tx1"/>
            </w14:solidFill>
          </w14:textFill>
        </w:rPr>
        <w:t>2026-2027AI模型服务类产品技术支撑服务</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w:t>
      </w:r>
      <w:r>
        <w:rPr>
          <w:rFonts w:hint="eastAsia" w:asciiTheme="minorEastAsia" w:hAnsiTheme="minorEastAsia" w:eastAsiaTheme="minorEastAsia" w:cstheme="minorEastAsia"/>
          <w:color w:val="000000" w:themeColor="text1"/>
          <w:highlight w:val="none"/>
          <w:shd w:val="clear" w:color="auto" w:fill="auto"/>
          <w:lang w:eastAsia="zh-CN"/>
          <w14:textFill>
            <w14:solidFill>
              <w14:schemeClr w14:val="tx1"/>
            </w14:solidFill>
          </w14:textFill>
        </w:rPr>
        <w:t>AI模型服务类产品</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指基于</w:t>
      </w:r>
      <w:r>
        <w:rPr>
          <w:rFonts w:hint="eastAsia" w:asciiTheme="minorEastAsia" w:hAnsiTheme="minorEastAsia" w:eastAsiaTheme="minorEastAsia" w:cstheme="minorEastAsia"/>
          <w:color w:val="000000" w:themeColor="text1"/>
          <w:highlight w:val="none"/>
          <w:shd w:val="clear" w:color="auto" w:fill="auto"/>
          <w:lang w:val="en-US" w:eastAsia="zh-CN"/>
          <w14:textFill>
            <w14:solidFill>
              <w14:schemeClr w14:val="tx1"/>
            </w14:solidFill>
          </w14:textFill>
        </w:rPr>
        <w:t>大语言、视觉检测、多模态</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等核心</w:t>
      </w:r>
      <w:r>
        <w:rPr>
          <w:rFonts w:hint="eastAsia" w:asciiTheme="minorEastAsia" w:hAnsiTheme="minorEastAsia" w:eastAsiaTheme="minorEastAsia" w:cstheme="minorEastAsia"/>
          <w:color w:val="000000" w:themeColor="text1"/>
          <w:highlight w:val="none"/>
          <w:shd w:val="clear" w:color="auto" w:fill="auto"/>
          <w:lang w:val="en-US" w:eastAsia="zh-CN"/>
          <w14:textFill>
            <w14:solidFill>
              <w14:schemeClr w14:val="tx1"/>
            </w14:solidFill>
          </w14:textFill>
        </w:rPr>
        <w:t>模型</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技术</w:t>
      </w:r>
      <w:r>
        <w:rPr>
          <w:rFonts w:hint="eastAsia" w:asciiTheme="minorEastAsia" w:hAnsiTheme="minorEastAsia" w:eastAsiaTheme="minorEastAsia" w:cstheme="minorEastAsia"/>
          <w:color w:val="000000" w:themeColor="text1"/>
          <w:highlight w:val="none"/>
          <w:shd w:val="clear" w:color="auto" w:fill="auto"/>
          <w:lang w:eastAsia="zh-CN"/>
          <w14:textFill>
            <w14:solidFill>
              <w14:schemeClr w14:val="tx1"/>
            </w14:solidFill>
          </w14:textFill>
        </w:rPr>
        <w:t>，</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用于</w:t>
      </w:r>
      <w:r>
        <w:rPr>
          <w:rFonts w:hint="eastAsia" w:asciiTheme="minorEastAsia" w:hAnsiTheme="minorEastAsia" w:eastAsiaTheme="minorEastAsia" w:cstheme="minorEastAsia"/>
          <w:highlight w:val="none"/>
          <w:shd w:val="clear" w:color="auto" w:fill="auto"/>
          <w:lang w:val="en-US" w:eastAsia="zh-CN"/>
        </w:rPr>
        <w:t>办公、智慧零售、安防、安全、工业等多个场景</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的产品，包括</w:t>
      </w:r>
      <w:r>
        <w:rPr>
          <w:rFonts w:hint="eastAsia" w:asciiTheme="minorEastAsia" w:hAnsiTheme="minorEastAsia" w:eastAsiaTheme="minorEastAsia" w:cstheme="minorEastAsia"/>
          <w:highlight w:val="none"/>
          <w:shd w:val="clear" w:color="auto" w:fill="auto"/>
          <w:lang w:val="en-US" w:eastAsia="zh-CN"/>
        </w:rPr>
        <w:t>智能体MaaS平台</w:t>
      </w:r>
      <w:r>
        <w:rPr>
          <w:rFonts w:hint="eastAsia" w:asciiTheme="minorEastAsia" w:hAnsiTheme="minorEastAsia" w:eastAsiaTheme="minorEastAsia" w:cstheme="minorEastAsia"/>
          <w:highlight w:val="none"/>
          <w:shd w:val="clear" w:color="auto" w:fill="auto"/>
        </w:rPr>
        <w:t>、视觉</w:t>
      </w:r>
      <w:r>
        <w:rPr>
          <w:rFonts w:hint="eastAsia" w:asciiTheme="minorEastAsia" w:hAnsiTheme="minorEastAsia" w:eastAsiaTheme="minorEastAsia" w:cstheme="minorEastAsia"/>
          <w:highlight w:val="none"/>
          <w:shd w:val="clear" w:color="auto" w:fill="auto"/>
          <w:lang w:val="en-US" w:eastAsia="zh-CN"/>
        </w:rPr>
        <w:t>能力平台</w:t>
      </w:r>
      <w:r>
        <w:rPr>
          <w:rFonts w:hint="eastAsia" w:asciiTheme="minorEastAsia" w:hAnsiTheme="minorEastAsia" w:eastAsiaTheme="minorEastAsia" w:cstheme="minorEastAsia"/>
          <w:highlight w:val="none"/>
          <w:shd w:val="clear" w:color="auto" w:fill="auto"/>
        </w:rPr>
        <w:t>、审计安全</w:t>
      </w:r>
      <w:r>
        <w:rPr>
          <w:rFonts w:hint="eastAsia" w:asciiTheme="minorEastAsia" w:hAnsiTheme="minorEastAsia" w:eastAsiaTheme="minorEastAsia" w:cstheme="minorEastAsia"/>
          <w:highlight w:val="none"/>
          <w:shd w:val="clear" w:color="auto" w:fill="auto"/>
          <w:lang w:val="en-US" w:eastAsia="zh-CN"/>
        </w:rPr>
        <w:t>平台</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和新增的同类AI产品，</w:t>
      </w:r>
      <w:r>
        <w:rPr>
          <w:rFonts w:hint="eastAsia" w:asciiTheme="minorEastAsia" w:hAnsiTheme="minorEastAsia" w:eastAsiaTheme="minorEastAsia" w:cstheme="minorEastAsia"/>
          <w:highlight w:val="none"/>
          <w:shd w:val="clear" w:color="auto" w:fill="auto"/>
        </w:rPr>
        <w:t>围绕客户业务需求提供全流程定制技术支撑服务</w:t>
      </w:r>
      <w:r>
        <w:rPr>
          <w:rFonts w:hint="eastAsia" w:asciiTheme="minorEastAsia" w:hAnsiTheme="minorEastAsia" w:eastAsiaTheme="minorEastAsia" w:cstheme="minorEastAsia"/>
          <w:color w:val="000000" w:themeColor="text1"/>
          <w:szCs w:val="28"/>
          <w:highlight w:val="none"/>
          <w:shd w:val="clear" w:color="auto" w:fill="auto"/>
          <w:lang w:eastAsia="zh-Hans"/>
          <w14:textFill>
            <w14:solidFill>
              <w14:schemeClr w14:val="tx1"/>
            </w14:solidFill>
          </w14:textFill>
        </w:rPr>
        <w:t>。</w:t>
      </w:r>
    </w:p>
    <w:p w14:paraId="6D95539B">
      <w:pPr>
        <w:adjustRightInd w:val="0"/>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 xml:space="preserve"> </w:t>
      </w: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服务期自合同签订之日起1年。</w:t>
      </w:r>
    </w:p>
    <w:p w14:paraId="018E6060">
      <w:pPr>
        <w:numPr>
          <w:ilvl w:val="0"/>
          <w:numId w:val="3"/>
        </w:num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服务形式</w:t>
      </w:r>
    </w:p>
    <w:p w14:paraId="29B2267B">
      <w:pPr>
        <w:ind w:firstLine="480"/>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pPr>
      <w:r>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t>（1）本服务项目要求乙方根据甲方的规划要求，配备专职项目经理，组建相应服务团队，服务团队提供驻场和远程服务。</w:t>
      </w:r>
    </w:p>
    <w:p w14:paraId="458E80CC">
      <w:pPr>
        <w:ind w:firstLine="480"/>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pPr>
      <w:r>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t>（2）乙方所组建的服务团队成员，应满足本技术规范书章节五章节所定人员要求。</w:t>
      </w:r>
    </w:p>
    <w:p w14:paraId="0E1F645C">
      <w:pPr>
        <w:ind w:firstLine="480"/>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pPr>
      <w:r>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t>（3）乙方所组建的服务团队，应具备丰富的产品运营方面的技术支撑服务能力，满足甲方的工作需求。</w:t>
      </w:r>
    </w:p>
    <w:p w14:paraId="69DED983">
      <w:pPr>
        <w:numPr>
          <w:ilvl w:val="0"/>
          <w:numId w:val="3"/>
        </w:num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服务内容及要求</w:t>
      </w:r>
    </w:p>
    <w:p w14:paraId="5CE692F8">
      <w:pPr>
        <w:pBdr>
          <w:bottom w:val="none" w:color="auto" w:sz="0" w:space="0"/>
        </w:pBd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协助进行</w:t>
      </w:r>
      <w:r>
        <w:rPr>
          <w:rFonts w:hint="eastAsia" w:asciiTheme="minorEastAsia" w:hAnsiTheme="minorEastAsia" w:eastAsiaTheme="minorEastAsia" w:cstheme="minorEastAsia"/>
          <w:highlight w:val="none"/>
          <w:shd w:val="clear" w:color="auto" w:fill="auto"/>
          <w:lang w:val="en-US" w:eastAsia="zh-CN"/>
        </w:rPr>
        <w:t>2026-2027AI模型服务类产品技术支撑服务，</w:t>
      </w:r>
      <w:bookmarkEnd w:id="2"/>
      <w:bookmarkEnd w:id="3"/>
      <w:bookmarkStart w:id="4" w:name="_Toc68939681"/>
      <w:bookmarkStart w:id="5" w:name="_Toc45523274"/>
      <w:r>
        <w:rPr>
          <w:rFonts w:hint="eastAsia" w:asciiTheme="minorEastAsia" w:hAnsiTheme="minorEastAsia" w:eastAsiaTheme="minorEastAsia" w:cstheme="minorEastAsia"/>
          <w:highlight w:val="none"/>
          <w:shd w:val="clear" w:color="auto" w:fill="auto"/>
        </w:rPr>
        <w:t>依托大语言、视觉检测、多模态等核心模型，打造智能体MaaS、视觉</w:t>
      </w:r>
      <w:r>
        <w:rPr>
          <w:rFonts w:hint="eastAsia" w:asciiTheme="minorEastAsia" w:hAnsiTheme="minorEastAsia" w:eastAsiaTheme="minorEastAsia" w:cstheme="minorEastAsia"/>
          <w:highlight w:val="none"/>
          <w:shd w:val="clear" w:color="auto" w:fill="auto"/>
          <w:lang w:val="en-US" w:eastAsia="zh-CN"/>
        </w:rPr>
        <w:t>能力</w:t>
      </w:r>
      <w:r>
        <w:rPr>
          <w:rFonts w:hint="eastAsia" w:asciiTheme="minorEastAsia" w:hAnsiTheme="minorEastAsia" w:eastAsiaTheme="minorEastAsia" w:cstheme="minorEastAsia"/>
          <w:highlight w:val="none"/>
          <w:shd w:val="clear" w:color="auto" w:fill="auto"/>
        </w:rPr>
        <w:t>、审计安全等AI平台产品，围绕客户业务需求迭代自主规划式Agent能力，凭借成熟产品、落地经验，提供全流程定制技术支撑，服务体系如下：</w:t>
      </w:r>
    </w:p>
    <w:p w14:paraId="326A486C">
      <w:pPr>
        <w:spacing w:before="124" w:after="124"/>
        <w:ind w:firstLine="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3.1 技术方案支撑</w:t>
      </w:r>
    </w:p>
    <w:p w14:paraId="77ACFB0C">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调研智能体MaaS、视觉</w:t>
      </w:r>
      <w:r>
        <w:rPr>
          <w:rFonts w:hint="eastAsia" w:asciiTheme="minorEastAsia" w:hAnsiTheme="minorEastAsia" w:eastAsiaTheme="minorEastAsia" w:cstheme="minorEastAsia"/>
          <w:highlight w:val="none"/>
          <w:shd w:val="clear" w:color="auto" w:fill="auto"/>
          <w:lang w:val="en-US" w:eastAsia="zh-CN"/>
        </w:rPr>
        <w:t>能力</w:t>
      </w:r>
      <w:r>
        <w:rPr>
          <w:rFonts w:hint="eastAsia" w:asciiTheme="minorEastAsia" w:hAnsiTheme="minorEastAsia" w:eastAsiaTheme="minorEastAsia" w:cstheme="minorEastAsia"/>
          <w:highlight w:val="none"/>
          <w:shd w:val="clear" w:color="auto" w:fill="auto"/>
        </w:rPr>
        <w:t>、审计安全等AI平台产品与场景需求，拆解分析需求，确定模型选型与定制内容，输出需求说明书并编制技术方案；</w:t>
      </w:r>
    </w:p>
    <w:p w14:paraId="54DEB213">
      <w:pPr>
        <w:spacing w:before="124" w:after="124"/>
        <w:ind w:firstLine="48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3.2 智能体专项搭建和模型调优支撑</w:t>
      </w:r>
    </w:p>
    <w:p w14:paraId="1181CA63">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聚焦Agent能力落地，贴合客户业务交互目标，基于现有智能体MaaS、视觉</w:t>
      </w:r>
      <w:r>
        <w:rPr>
          <w:rFonts w:hint="eastAsia" w:asciiTheme="minorEastAsia" w:hAnsiTheme="minorEastAsia" w:eastAsiaTheme="minorEastAsia" w:cstheme="minorEastAsia"/>
          <w:highlight w:val="none"/>
          <w:shd w:val="clear" w:color="auto" w:fill="auto"/>
          <w:lang w:val="en-US" w:eastAsia="zh-CN"/>
        </w:rPr>
        <w:t>能力</w:t>
      </w:r>
      <w:r>
        <w:rPr>
          <w:rFonts w:hint="eastAsia" w:asciiTheme="minorEastAsia" w:hAnsiTheme="minorEastAsia" w:eastAsiaTheme="minorEastAsia" w:cstheme="minorEastAsia"/>
          <w:highlight w:val="none"/>
          <w:shd w:val="clear" w:color="auto" w:fill="auto"/>
        </w:rPr>
        <w:t>、审计安全等AI产品能力，完成定制化搭建：</w:t>
      </w:r>
    </w:p>
    <w:p w14:paraId="649C83C7">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1、梳理业务交互逻辑与执行目标</w:t>
      </w:r>
    </w:p>
    <w:p w14:paraId="5C92B205">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2、搭建对话、任务执行智能体逻辑</w:t>
      </w:r>
    </w:p>
    <w:p w14:paraId="1C3BE09A">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3、集成行业知识库，适配模型参数</w:t>
      </w:r>
    </w:p>
    <w:p w14:paraId="01020FFA">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4、对接现有业务系统，实现跨系统数据联动</w:t>
      </w:r>
    </w:p>
    <w:p w14:paraId="126887E4">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5、搭建专属知识库，配置业务规则</w:t>
      </w:r>
    </w:p>
    <w:p w14:paraId="00E9E169">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6、编排AI流程，精细化调优模型</w:t>
      </w:r>
    </w:p>
    <w:p w14:paraId="45173C62">
      <w:pPr>
        <w:spacing w:before="124" w:after="124"/>
        <w:ind w:firstLine="48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3.3 产品适配与定制改造</w:t>
      </w:r>
    </w:p>
    <w:p w14:paraId="2CC969F7">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基于现有智能体MaaS、视觉</w:t>
      </w:r>
      <w:r>
        <w:rPr>
          <w:rFonts w:hint="eastAsia" w:asciiTheme="minorEastAsia" w:hAnsiTheme="minorEastAsia" w:eastAsiaTheme="minorEastAsia" w:cstheme="minorEastAsia"/>
          <w:highlight w:val="none"/>
          <w:shd w:val="clear" w:color="auto" w:fill="auto"/>
          <w:lang w:val="en-US" w:eastAsia="zh-CN"/>
        </w:rPr>
        <w:t>能力</w:t>
      </w:r>
      <w:r>
        <w:rPr>
          <w:rFonts w:hint="eastAsia" w:asciiTheme="minorEastAsia" w:hAnsiTheme="minorEastAsia" w:eastAsiaTheme="minorEastAsia" w:cstheme="minorEastAsia"/>
          <w:highlight w:val="none"/>
          <w:shd w:val="clear" w:color="auto" w:fill="auto"/>
        </w:rPr>
        <w:t>、审计安全平台做个性化能力拓展和改造：</w:t>
      </w:r>
    </w:p>
    <w:p w14:paraId="26EE1E7E">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1、功能、页面、业务流程定制调整；</w:t>
      </w:r>
    </w:p>
    <w:p w14:paraId="5EDBA15D">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2、接口开发对接、数据治理与分析；</w:t>
      </w:r>
    </w:p>
    <w:p w14:paraId="2A89FE71">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3、模型参数专项调优；</w:t>
      </w:r>
    </w:p>
    <w:p w14:paraId="16DF9A1D">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4、智能体、插件、工具链迭代；</w:t>
      </w:r>
    </w:p>
    <w:p w14:paraId="71227A71">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5、标准化接口调试；</w:t>
      </w:r>
    </w:p>
    <w:p w14:paraId="10AE149D">
      <w:pPr>
        <w:spacing w:before="124" w:after="124"/>
        <w:ind w:firstLine="48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3.4 数智化转型支撑</w:t>
      </w:r>
    </w:p>
    <w:p w14:paraId="097C3F9B">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运用大数据与AI技术，搭建数智化审计、视觉</w:t>
      </w:r>
      <w:r>
        <w:rPr>
          <w:rFonts w:hint="eastAsia" w:asciiTheme="minorEastAsia" w:hAnsiTheme="minorEastAsia" w:eastAsiaTheme="minorEastAsia" w:cstheme="minorEastAsia"/>
          <w:highlight w:val="none"/>
          <w:shd w:val="clear" w:color="auto" w:fill="auto"/>
          <w:lang w:val="en-US" w:eastAsia="zh-CN"/>
        </w:rPr>
        <w:t>能力</w:t>
      </w:r>
      <w:r>
        <w:rPr>
          <w:rFonts w:hint="eastAsia" w:asciiTheme="minorEastAsia" w:hAnsiTheme="minorEastAsia" w:eastAsiaTheme="minorEastAsia" w:cstheme="minorEastAsia"/>
          <w:highlight w:val="none"/>
          <w:shd w:val="clear" w:color="auto" w:fill="auto"/>
        </w:rPr>
        <w:t>、</w:t>
      </w:r>
      <w:r>
        <w:rPr>
          <w:rFonts w:hint="eastAsia" w:asciiTheme="minorEastAsia" w:hAnsiTheme="minorEastAsia" w:eastAsiaTheme="minorEastAsia" w:cstheme="minorEastAsia"/>
          <w:highlight w:val="none"/>
          <w:shd w:val="clear" w:color="auto" w:fill="auto"/>
          <w:lang w:val="en-US" w:eastAsia="zh-CN"/>
        </w:rPr>
        <w:t>审计</w:t>
      </w:r>
      <w:r>
        <w:rPr>
          <w:rFonts w:hint="eastAsia" w:asciiTheme="minorEastAsia" w:hAnsiTheme="minorEastAsia" w:eastAsiaTheme="minorEastAsia" w:cstheme="minorEastAsia"/>
          <w:highlight w:val="none"/>
          <w:shd w:val="clear" w:color="auto" w:fill="auto"/>
        </w:rPr>
        <w:t>安全等体系，助力</w:t>
      </w:r>
      <w:r>
        <w:rPr>
          <w:rFonts w:hint="eastAsia" w:asciiTheme="minorEastAsia" w:hAnsiTheme="minorEastAsia" w:eastAsiaTheme="minorEastAsia" w:cstheme="minorEastAsia"/>
          <w:highlight w:val="none"/>
          <w:shd w:val="clear" w:color="auto" w:fill="auto"/>
          <w:lang w:val="en-US" w:eastAsia="zh-CN"/>
        </w:rPr>
        <w:t>产品</w:t>
      </w:r>
      <w:r>
        <w:rPr>
          <w:rFonts w:hint="eastAsia" w:asciiTheme="minorEastAsia" w:hAnsiTheme="minorEastAsia" w:eastAsiaTheme="minorEastAsia" w:cstheme="minorEastAsia"/>
          <w:highlight w:val="none"/>
          <w:shd w:val="clear" w:color="auto" w:fill="auto"/>
        </w:rPr>
        <w:t>智能化升级。</w:t>
      </w:r>
    </w:p>
    <w:p w14:paraId="3B724E58">
      <w:pPr>
        <w:spacing w:before="124" w:after="124"/>
        <w:ind w:firstLine="48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3.5 交付支撑</w:t>
      </w:r>
    </w:p>
    <w:p w14:paraId="2D50F590">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1、部署配置：完成平台部署，参数、网络、权限设置，并开展功能测试；</w:t>
      </w:r>
    </w:p>
    <w:p w14:paraId="214069EE">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2、进度管理：制定交付计划，跟踪进度，管控延期风险；</w:t>
      </w:r>
    </w:p>
    <w:p w14:paraId="75D55A86">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3、问题处置：解决交付突发问题，解答客户相关疑问；</w:t>
      </w:r>
    </w:p>
    <w:p w14:paraId="3C0830CE">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4、验收归档：协助验收，整理留存全套项目文档；</w:t>
      </w:r>
    </w:p>
    <w:p w14:paraId="0DF31758">
      <w:pPr>
        <w:spacing w:before="124" w:after="124"/>
        <w:ind w:firstLine="480"/>
        <w:rPr>
          <w:rFonts w:hint="eastAsia" w:asciiTheme="minorEastAsia" w:hAnsiTheme="minorEastAsia" w:eastAsiaTheme="minorEastAsia" w:cstheme="minorEastAsia"/>
          <w:b/>
          <w:sz w:val="28"/>
          <w:highlight w:val="none"/>
          <w:shd w:val="clear" w:color="auto" w:fill="auto"/>
        </w:rPr>
      </w:pPr>
      <w:r>
        <w:rPr>
          <w:rFonts w:hint="eastAsia" w:asciiTheme="minorEastAsia" w:hAnsiTheme="minorEastAsia" w:eastAsiaTheme="minorEastAsia" w:cstheme="minorEastAsia"/>
          <w:b/>
          <w:sz w:val="28"/>
          <w:highlight w:val="none"/>
          <w:shd w:val="clear" w:color="auto" w:fill="auto"/>
        </w:rPr>
        <w:t>3.6 售后支撑</w:t>
      </w:r>
    </w:p>
    <w:p w14:paraId="39A491EC">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1、日常答疑，整理使用问答文档</w:t>
      </w:r>
    </w:p>
    <w:p w14:paraId="0356E376">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2、闭环处理客户投诉与建议</w:t>
      </w:r>
    </w:p>
    <w:p w14:paraId="3FC90C46">
      <w:pPr>
        <w:spacing w:before="124" w:after="124"/>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3、系统操作培训及不定期回访；</w:t>
      </w:r>
    </w:p>
    <w:p w14:paraId="01784F68">
      <w:pPr>
        <w:numPr>
          <w:ilvl w:val="0"/>
          <w:numId w:val="3"/>
        </w:num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服务人天估算</w:t>
      </w:r>
    </w:p>
    <w:tbl>
      <w:tblPr>
        <w:tblStyle w:val="21"/>
        <w:tblpPr w:leftFromText="180" w:rightFromText="180" w:vertAnchor="text" w:horzAnchor="page" w:tblpX="1691" w:tblpY="5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1573"/>
        <w:gridCol w:w="4662"/>
        <w:gridCol w:w="1315"/>
      </w:tblGrid>
      <w:tr w14:paraId="2886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67" w:type="dxa"/>
            <w:shd w:val="clear" w:color="auto" w:fill="C5D9F1"/>
            <w:vAlign w:val="center"/>
          </w:tcPr>
          <w:p w14:paraId="5EA41195">
            <w:pPr>
              <w:widowControl/>
              <w:spacing w:before="0" w:after="0" w:line="240" w:lineRule="auto"/>
              <w:ind w:firstLine="0" w:firstLineChars="0"/>
              <w:jc w:val="center"/>
              <w:textAlignment w:val="center"/>
              <w:rPr>
                <w:rFonts w:hint="eastAsia" w:asciiTheme="minorEastAsia" w:hAnsiTheme="minorEastAsia" w:eastAsiaTheme="minorEastAsia" w:cstheme="minorEastAsia"/>
                <w:b/>
                <w:bCs/>
                <w:color w:val="000000"/>
                <w:kern w:val="0"/>
                <w:sz w:val="20"/>
                <w:szCs w:val="20"/>
                <w:highlight w:val="none"/>
                <w:shd w:val="clear" w:color="auto" w:fill="auto"/>
                <w:lang w:bidi="ar"/>
              </w:rPr>
            </w:pPr>
            <w:bookmarkStart w:id="6" w:name="OLE_LINK1"/>
            <w:r>
              <w:rPr>
                <w:rFonts w:hint="eastAsia" w:asciiTheme="minorEastAsia" w:hAnsiTheme="minorEastAsia" w:eastAsiaTheme="minorEastAsia" w:cstheme="minorEastAsia"/>
                <w:b/>
                <w:bCs/>
                <w:color w:val="000000"/>
                <w:kern w:val="0"/>
                <w:sz w:val="20"/>
                <w:szCs w:val="20"/>
                <w:highlight w:val="none"/>
                <w:shd w:val="clear" w:color="auto" w:fill="auto"/>
                <w:lang w:bidi="ar"/>
              </w:rPr>
              <w:t>服务名称</w:t>
            </w:r>
          </w:p>
        </w:tc>
        <w:tc>
          <w:tcPr>
            <w:tcW w:w="1573" w:type="dxa"/>
            <w:shd w:val="clear" w:color="auto" w:fill="C5D9F1"/>
            <w:vAlign w:val="center"/>
          </w:tcPr>
          <w:p w14:paraId="179837D6">
            <w:pPr>
              <w:widowControl/>
              <w:spacing w:before="0" w:after="0" w:line="240" w:lineRule="auto"/>
              <w:ind w:firstLine="0" w:firstLineChars="0"/>
              <w:jc w:val="center"/>
              <w:textAlignment w:val="center"/>
              <w:rPr>
                <w:rFonts w:hint="eastAsia" w:asciiTheme="minorEastAsia" w:hAnsiTheme="minorEastAsia" w:eastAsiaTheme="minorEastAsia" w:cstheme="minorEastAsia"/>
                <w:b/>
                <w:bCs/>
                <w:color w:val="000000"/>
                <w:sz w:val="20"/>
                <w:szCs w:val="20"/>
                <w:highlight w:val="none"/>
                <w:shd w:val="clear" w:color="auto" w:fill="auto"/>
              </w:rPr>
            </w:pPr>
            <w:r>
              <w:rPr>
                <w:rFonts w:hint="eastAsia" w:asciiTheme="minorEastAsia" w:hAnsiTheme="minorEastAsia" w:eastAsiaTheme="minorEastAsia" w:cstheme="minorEastAsia"/>
                <w:b/>
                <w:bCs/>
                <w:color w:val="000000"/>
                <w:sz w:val="20"/>
                <w:szCs w:val="20"/>
                <w:highlight w:val="none"/>
                <w:shd w:val="clear" w:color="auto" w:fill="auto"/>
              </w:rPr>
              <w:t>工作内容</w:t>
            </w:r>
          </w:p>
        </w:tc>
        <w:tc>
          <w:tcPr>
            <w:tcW w:w="4662" w:type="dxa"/>
            <w:shd w:val="clear" w:color="auto" w:fill="C5D9F1"/>
            <w:vAlign w:val="center"/>
          </w:tcPr>
          <w:p w14:paraId="5EEB0F6F">
            <w:pPr>
              <w:widowControl/>
              <w:spacing w:before="0" w:after="0" w:line="240" w:lineRule="auto"/>
              <w:ind w:firstLine="0" w:firstLineChars="0"/>
              <w:jc w:val="center"/>
              <w:textAlignment w:val="center"/>
              <w:rPr>
                <w:rFonts w:hint="eastAsia" w:asciiTheme="minorEastAsia" w:hAnsiTheme="minorEastAsia" w:eastAsiaTheme="minorEastAsia" w:cstheme="minorEastAsia"/>
                <w:b/>
                <w:bCs/>
                <w:color w:val="000000"/>
                <w:sz w:val="20"/>
                <w:szCs w:val="20"/>
                <w:highlight w:val="none"/>
                <w:shd w:val="clear" w:color="auto" w:fill="auto"/>
              </w:rPr>
            </w:pPr>
            <w:r>
              <w:rPr>
                <w:rFonts w:hint="eastAsia" w:asciiTheme="minorEastAsia" w:hAnsiTheme="minorEastAsia" w:eastAsiaTheme="minorEastAsia" w:cstheme="minorEastAsia"/>
                <w:b/>
                <w:bCs/>
                <w:color w:val="000000"/>
                <w:kern w:val="0"/>
                <w:sz w:val="20"/>
                <w:szCs w:val="20"/>
                <w:highlight w:val="none"/>
                <w:shd w:val="clear" w:color="auto" w:fill="auto"/>
                <w:lang w:bidi="ar"/>
              </w:rPr>
              <w:t>工作描述</w:t>
            </w:r>
          </w:p>
        </w:tc>
        <w:tc>
          <w:tcPr>
            <w:tcW w:w="1315" w:type="dxa"/>
            <w:shd w:val="clear" w:color="auto" w:fill="C5D9F1"/>
            <w:vAlign w:val="center"/>
          </w:tcPr>
          <w:p w14:paraId="45D4C14F">
            <w:pPr>
              <w:widowControl/>
              <w:spacing w:before="0" w:after="0" w:line="240" w:lineRule="auto"/>
              <w:ind w:firstLine="0" w:firstLineChars="0"/>
              <w:jc w:val="center"/>
              <w:textAlignment w:val="center"/>
              <w:rPr>
                <w:rFonts w:hint="eastAsia" w:asciiTheme="minorEastAsia" w:hAnsiTheme="minorEastAsia" w:eastAsiaTheme="minorEastAsia" w:cstheme="minorEastAsia"/>
                <w:b/>
                <w:bCs/>
                <w:color w:val="000000"/>
                <w:sz w:val="20"/>
                <w:szCs w:val="20"/>
                <w:highlight w:val="none"/>
                <w:shd w:val="clear" w:color="auto" w:fill="auto"/>
              </w:rPr>
            </w:pPr>
            <w:r>
              <w:rPr>
                <w:rFonts w:hint="eastAsia" w:asciiTheme="minorEastAsia" w:hAnsiTheme="minorEastAsia" w:eastAsiaTheme="minorEastAsia" w:cstheme="minorEastAsia"/>
                <w:b/>
                <w:bCs/>
                <w:color w:val="000000"/>
                <w:kern w:val="0"/>
                <w:sz w:val="20"/>
                <w:szCs w:val="20"/>
                <w:highlight w:val="none"/>
                <w:shd w:val="clear" w:color="auto" w:fill="auto"/>
                <w:lang w:bidi="ar"/>
              </w:rPr>
              <w:t>预估工作量（人天）</w:t>
            </w:r>
          </w:p>
        </w:tc>
      </w:tr>
      <w:tr w14:paraId="3110E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67" w:type="dxa"/>
            <w:shd w:val="clear" w:color="auto" w:fill="auto"/>
            <w:vAlign w:val="center"/>
          </w:tcPr>
          <w:p w14:paraId="22107084">
            <w:pPr>
              <w:spacing w:before="0" w:after="0" w:line="240" w:lineRule="auto"/>
              <w:ind w:firstLine="0" w:firstLineChars="0"/>
              <w:jc w:val="center"/>
              <w:rPr>
                <w:rFonts w:hint="eastAsia" w:asciiTheme="minorEastAsia" w:hAnsiTheme="minorEastAsia" w:eastAsiaTheme="minorEastAsia" w:cstheme="minorEastAsia"/>
                <w:color w:val="000000"/>
                <w:sz w:val="20"/>
                <w:szCs w:val="20"/>
                <w:highlight w:val="none"/>
                <w:shd w:val="clear" w:color="auto" w:fill="auto"/>
                <w:lang w:val="en-US" w:eastAsia="zh-CN"/>
              </w:rPr>
            </w:pPr>
            <w:r>
              <w:rPr>
                <w:rFonts w:hint="eastAsia" w:asciiTheme="minorEastAsia" w:hAnsiTheme="minorEastAsia" w:eastAsiaTheme="minorEastAsia" w:cstheme="minorEastAsia"/>
                <w:color w:val="000000"/>
                <w:sz w:val="20"/>
                <w:szCs w:val="20"/>
                <w:highlight w:val="none"/>
                <w:shd w:val="clear" w:color="auto" w:fill="auto"/>
                <w:lang w:val="en-US" w:eastAsia="zh-CN"/>
              </w:rPr>
              <w:t>技术支撑</w:t>
            </w:r>
          </w:p>
        </w:tc>
        <w:tc>
          <w:tcPr>
            <w:tcW w:w="1573" w:type="dxa"/>
            <w:shd w:val="clear" w:color="auto" w:fill="auto"/>
            <w:vAlign w:val="center"/>
          </w:tcPr>
          <w:p w14:paraId="27299298">
            <w:pPr>
              <w:spacing w:before="0" w:after="0" w:line="240" w:lineRule="auto"/>
              <w:ind w:firstLine="0" w:firstLineChars="0"/>
              <w:jc w:val="center"/>
              <w:rPr>
                <w:rFonts w:hint="eastAsia" w:asciiTheme="minorEastAsia" w:hAnsiTheme="minorEastAsia" w:eastAsiaTheme="minorEastAsia" w:cstheme="minorEastAsia"/>
                <w:color w:val="000000"/>
                <w:sz w:val="20"/>
                <w:szCs w:val="20"/>
                <w:highlight w:val="none"/>
                <w:shd w:val="clear" w:color="auto" w:fill="auto"/>
                <w:lang w:val="en-US" w:eastAsia="zh-CN"/>
              </w:rPr>
            </w:pPr>
            <w:r>
              <w:rPr>
                <w:rFonts w:hint="eastAsia" w:asciiTheme="minorEastAsia" w:hAnsiTheme="minorEastAsia" w:eastAsiaTheme="minorEastAsia" w:cstheme="minorEastAsia"/>
                <w:color w:val="000000"/>
                <w:sz w:val="20"/>
                <w:szCs w:val="20"/>
                <w:highlight w:val="none"/>
                <w:shd w:val="clear" w:color="auto" w:fill="auto"/>
                <w:lang w:val="en-US" w:eastAsia="zh-CN"/>
              </w:rPr>
              <w:t>技术支撑服务</w:t>
            </w:r>
          </w:p>
        </w:tc>
        <w:tc>
          <w:tcPr>
            <w:tcW w:w="4662" w:type="dxa"/>
            <w:shd w:val="clear" w:color="auto" w:fill="auto"/>
            <w:vAlign w:val="center"/>
          </w:tcPr>
          <w:p w14:paraId="4D40C76D">
            <w:pPr>
              <w:snapToGrid/>
              <w:spacing w:line="240" w:lineRule="auto"/>
              <w:rPr>
                <w:b w:val="0"/>
                <w:i w:val="0"/>
                <w:strike w:val="0"/>
                <w:spacing w:val="0"/>
                <w:sz w:val="20"/>
                <w:u w:val="none"/>
                <w:shd w:val="clear" w:color="auto" w:fill="auto"/>
              </w:rPr>
            </w:pPr>
            <w:r>
              <w:rPr>
                <w:b w:val="0"/>
                <w:i w:val="0"/>
                <w:strike w:val="0"/>
                <w:spacing w:val="0"/>
                <w:sz w:val="20"/>
                <w:u w:val="none"/>
                <w:shd w:val="clear" w:color="auto" w:fill="auto"/>
              </w:rPr>
              <w:t>协助进行2026-2027AI模型服务类产品技术支撑服务，依托大语言、视觉检测、多模态等核心模型，打造智能体MaaS、视觉</w:t>
            </w:r>
            <w:r>
              <w:rPr>
                <w:rFonts w:hint="eastAsia"/>
                <w:b w:val="0"/>
                <w:i w:val="0"/>
                <w:strike w:val="0"/>
                <w:spacing w:val="0"/>
                <w:sz w:val="20"/>
                <w:u w:val="none"/>
                <w:shd w:val="clear" w:color="auto" w:fill="auto"/>
                <w:lang w:val="en-US" w:eastAsia="zh-CN"/>
              </w:rPr>
              <w:t>能力</w:t>
            </w:r>
            <w:r>
              <w:rPr>
                <w:b w:val="0"/>
                <w:i w:val="0"/>
                <w:strike w:val="0"/>
                <w:spacing w:val="0"/>
                <w:sz w:val="20"/>
                <w:u w:val="none"/>
                <w:shd w:val="clear" w:color="auto" w:fill="auto"/>
              </w:rPr>
              <w:t>、审计安全等AI平台产品，围绕客户业务需求迭代自主规划式Agent能力，凭借成熟产品、落地经验，提供全流程定制技术支撑，服务体系如下：</w:t>
            </w:r>
          </w:p>
          <w:p w14:paraId="41827727">
            <w:pPr>
              <w:pBdr>
                <w:bottom w:val="none" w:color="auto" w:sz="0" w:space="0"/>
              </w:pBdr>
              <w:snapToGrid/>
              <w:spacing w:line="240" w:lineRule="auto"/>
              <w:rPr>
                <w:b w:val="0"/>
                <w:shd w:val="clear" w:color="auto" w:fill="auto"/>
              </w:rPr>
            </w:pPr>
            <w:r>
              <w:rPr>
                <w:rFonts w:hint="eastAsia"/>
                <w:b w:val="0"/>
                <w:i w:val="0"/>
                <w:strike w:val="0"/>
                <w:spacing w:val="0"/>
                <w:sz w:val="20"/>
                <w:u w:val="none"/>
                <w:shd w:val="clear" w:color="auto" w:fill="auto"/>
              </w:rPr>
              <w:t>一、</w:t>
            </w:r>
            <w:r>
              <w:rPr>
                <w:b w:val="0"/>
                <w:i w:val="0"/>
                <w:strike w:val="0"/>
                <w:spacing w:val="0"/>
                <w:sz w:val="20"/>
                <w:u w:val="none"/>
                <w:shd w:val="clear" w:color="auto" w:fill="auto"/>
              </w:rPr>
              <w:t>技术方案支撑</w:t>
            </w:r>
          </w:p>
          <w:p w14:paraId="2A128116">
            <w:pPr>
              <w:snapToGrid/>
              <w:spacing w:line="240" w:lineRule="auto"/>
              <w:rPr>
                <w:b w:val="0"/>
                <w:shd w:val="clear" w:color="auto" w:fill="auto"/>
              </w:rPr>
            </w:pPr>
            <w:r>
              <w:rPr>
                <w:b w:val="0"/>
                <w:i w:val="0"/>
                <w:strike w:val="0"/>
                <w:spacing w:val="0"/>
                <w:sz w:val="20"/>
                <w:u w:val="none"/>
                <w:shd w:val="clear" w:color="auto" w:fill="auto"/>
              </w:rPr>
              <w:t>调研智能体MaaS、视觉</w:t>
            </w:r>
            <w:r>
              <w:rPr>
                <w:rFonts w:hint="eastAsia"/>
                <w:b w:val="0"/>
                <w:i w:val="0"/>
                <w:strike w:val="0"/>
                <w:spacing w:val="0"/>
                <w:sz w:val="20"/>
                <w:u w:val="none"/>
                <w:shd w:val="clear" w:color="auto" w:fill="auto"/>
                <w:lang w:val="en-US" w:eastAsia="zh-CN"/>
              </w:rPr>
              <w:t>能力</w:t>
            </w:r>
            <w:r>
              <w:rPr>
                <w:b w:val="0"/>
                <w:i w:val="0"/>
                <w:strike w:val="0"/>
                <w:spacing w:val="0"/>
                <w:sz w:val="20"/>
                <w:u w:val="none"/>
                <w:shd w:val="clear" w:color="auto" w:fill="auto"/>
              </w:rPr>
              <w:t>、审计安全等AI平台产品与场景需求，拆解分析需求，确定模型选型与定制内容，输出需求说明书并编制技术方案；</w:t>
            </w:r>
          </w:p>
          <w:p w14:paraId="372DB3C5">
            <w:pPr>
              <w:snapToGrid/>
              <w:spacing w:line="240" w:lineRule="auto"/>
              <w:rPr>
                <w:b w:val="0"/>
                <w:shd w:val="clear" w:color="auto" w:fill="auto"/>
              </w:rPr>
            </w:pPr>
            <w:r>
              <w:rPr>
                <w:rFonts w:hint="eastAsia"/>
                <w:b w:val="0"/>
                <w:i w:val="0"/>
                <w:strike w:val="0"/>
                <w:spacing w:val="0"/>
                <w:sz w:val="20"/>
                <w:u w:val="none"/>
                <w:shd w:val="clear" w:color="auto" w:fill="auto"/>
              </w:rPr>
              <w:t>二、</w:t>
            </w:r>
            <w:r>
              <w:rPr>
                <w:b w:val="0"/>
                <w:i w:val="0"/>
                <w:strike w:val="0"/>
                <w:spacing w:val="0"/>
                <w:sz w:val="20"/>
                <w:u w:val="none"/>
                <w:shd w:val="clear" w:color="auto" w:fill="auto"/>
              </w:rPr>
              <w:t>智能体专项搭建和模型调优支撑</w:t>
            </w:r>
          </w:p>
          <w:p w14:paraId="632F4A8F">
            <w:pPr>
              <w:snapToGrid/>
              <w:spacing w:line="240" w:lineRule="auto"/>
              <w:rPr>
                <w:b w:val="0"/>
                <w:shd w:val="clear" w:color="auto" w:fill="auto"/>
              </w:rPr>
            </w:pPr>
            <w:r>
              <w:rPr>
                <w:b w:val="0"/>
                <w:i w:val="0"/>
                <w:strike w:val="0"/>
                <w:spacing w:val="0"/>
                <w:sz w:val="20"/>
                <w:u w:val="none"/>
                <w:shd w:val="clear" w:color="auto" w:fill="auto"/>
              </w:rPr>
              <w:t>聚焦Agent能力落地，贴合客户业务交互目标，基于现有智能体MaaS、视觉</w:t>
            </w:r>
            <w:r>
              <w:rPr>
                <w:rFonts w:hint="eastAsia"/>
                <w:b w:val="0"/>
                <w:i w:val="0"/>
                <w:strike w:val="0"/>
                <w:spacing w:val="0"/>
                <w:sz w:val="20"/>
                <w:u w:val="none"/>
                <w:shd w:val="clear" w:color="auto" w:fill="auto"/>
                <w:lang w:val="en-US" w:eastAsia="zh-CN"/>
              </w:rPr>
              <w:t>能力</w:t>
            </w:r>
            <w:r>
              <w:rPr>
                <w:b w:val="0"/>
                <w:i w:val="0"/>
                <w:strike w:val="0"/>
                <w:spacing w:val="0"/>
                <w:sz w:val="20"/>
                <w:u w:val="none"/>
                <w:shd w:val="clear" w:color="auto" w:fill="auto"/>
              </w:rPr>
              <w:t>、审计安全等AI产品能力，完成定制化搭建：</w:t>
            </w:r>
          </w:p>
          <w:p w14:paraId="03B4F953">
            <w:pPr>
              <w:snapToGrid/>
              <w:spacing w:line="240" w:lineRule="auto"/>
              <w:rPr>
                <w:b w:val="0"/>
                <w:shd w:val="clear" w:color="auto" w:fill="auto"/>
              </w:rPr>
            </w:pPr>
            <w:r>
              <w:rPr>
                <w:b w:val="0"/>
                <w:i w:val="0"/>
                <w:strike w:val="0"/>
                <w:spacing w:val="0"/>
                <w:sz w:val="20"/>
                <w:u w:val="none"/>
                <w:shd w:val="clear" w:color="auto" w:fill="auto"/>
              </w:rPr>
              <w:t>1、梳理业务交互逻辑与执行目标</w:t>
            </w:r>
          </w:p>
          <w:p w14:paraId="1C4FAAC1">
            <w:pPr>
              <w:snapToGrid/>
              <w:spacing w:line="240" w:lineRule="auto"/>
              <w:rPr>
                <w:b w:val="0"/>
                <w:shd w:val="clear" w:color="auto" w:fill="auto"/>
              </w:rPr>
            </w:pPr>
            <w:r>
              <w:rPr>
                <w:b w:val="0"/>
                <w:i w:val="0"/>
                <w:strike w:val="0"/>
                <w:spacing w:val="0"/>
                <w:sz w:val="20"/>
                <w:u w:val="none"/>
                <w:shd w:val="clear" w:color="auto" w:fill="auto"/>
              </w:rPr>
              <w:t>2、搭建对话、任务执行智能体逻辑</w:t>
            </w:r>
          </w:p>
          <w:p w14:paraId="3C111996">
            <w:pPr>
              <w:snapToGrid/>
              <w:spacing w:line="240" w:lineRule="auto"/>
              <w:rPr>
                <w:b w:val="0"/>
                <w:shd w:val="clear" w:color="auto" w:fill="auto"/>
              </w:rPr>
            </w:pPr>
            <w:r>
              <w:rPr>
                <w:b w:val="0"/>
                <w:i w:val="0"/>
                <w:strike w:val="0"/>
                <w:spacing w:val="0"/>
                <w:sz w:val="20"/>
                <w:u w:val="none"/>
                <w:shd w:val="clear" w:color="auto" w:fill="auto"/>
              </w:rPr>
              <w:t>3、集成行业知识库，适配模型参数</w:t>
            </w:r>
          </w:p>
          <w:p w14:paraId="5D710F67">
            <w:pPr>
              <w:snapToGrid/>
              <w:spacing w:line="240" w:lineRule="auto"/>
              <w:rPr>
                <w:b w:val="0"/>
                <w:shd w:val="clear" w:color="auto" w:fill="auto"/>
              </w:rPr>
            </w:pPr>
            <w:r>
              <w:rPr>
                <w:b w:val="0"/>
                <w:i w:val="0"/>
                <w:strike w:val="0"/>
                <w:spacing w:val="0"/>
                <w:sz w:val="20"/>
                <w:u w:val="none"/>
                <w:shd w:val="clear" w:color="auto" w:fill="auto"/>
              </w:rPr>
              <w:t>4、对接现有业务系统，实现跨系统数据联动</w:t>
            </w:r>
          </w:p>
          <w:p w14:paraId="578A7A0D">
            <w:pPr>
              <w:snapToGrid/>
              <w:spacing w:line="240" w:lineRule="auto"/>
              <w:rPr>
                <w:b w:val="0"/>
                <w:shd w:val="clear" w:color="auto" w:fill="auto"/>
              </w:rPr>
            </w:pPr>
            <w:r>
              <w:rPr>
                <w:b w:val="0"/>
                <w:i w:val="0"/>
                <w:strike w:val="0"/>
                <w:spacing w:val="0"/>
                <w:sz w:val="20"/>
                <w:u w:val="none"/>
                <w:shd w:val="clear" w:color="auto" w:fill="auto"/>
              </w:rPr>
              <w:t>5、搭建专属知识库，配置业务规则</w:t>
            </w:r>
          </w:p>
          <w:p w14:paraId="323CE86F">
            <w:pPr>
              <w:snapToGrid/>
              <w:spacing w:line="240" w:lineRule="auto"/>
              <w:rPr>
                <w:b w:val="0"/>
                <w:shd w:val="clear" w:color="auto" w:fill="auto"/>
              </w:rPr>
            </w:pPr>
            <w:r>
              <w:rPr>
                <w:b w:val="0"/>
                <w:i w:val="0"/>
                <w:strike w:val="0"/>
                <w:spacing w:val="0"/>
                <w:sz w:val="20"/>
                <w:u w:val="none"/>
                <w:shd w:val="clear" w:color="auto" w:fill="auto"/>
              </w:rPr>
              <w:t>6、编排AI流程，精细化调优模型</w:t>
            </w:r>
          </w:p>
          <w:p w14:paraId="2FEABF47">
            <w:pPr>
              <w:snapToGrid/>
              <w:spacing w:line="240" w:lineRule="auto"/>
              <w:rPr>
                <w:b w:val="0"/>
                <w:shd w:val="clear" w:color="auto" w:fill="auto"/>
              </w:rPr>
            </w:pPr>
            <w:r>
              <w:rPr>
                <w:rFonts w:hint="eastAsia"/>
                <w:b w:val="0"/>
                <w:i w:val="0"/>
                <w:strike w:val="0"/>
                <w:spacing w:val="0"/>
                <w:sz w:val="20"/>
                <w:u w:val="none"/>
                <w:shd w:val="clear" w:color="auto" w:fill="auto"/>
              </w:rPr>
              <w:t>三、</w:t>
            </w:r>
            <w:r>
              <w:rPr>
                <w:b w:val="0"/>
                <w:i w:val="0"/>
                <w:strike w:val="0"/>
                <w:spacing w:val="0"/>
                <w:sz w:val="20"/>
                <w:u w:val="none"/>
                <w:shd w:val="clear" w:color="auto" w:fill="auto"/>
              </w:rPr>
              <w:t>产品适配与定制改造</w:t>
            </w:r>
          </w:p>
          <w:p w14:paraId="273C529E">
            <w:pPr>
              <w:snapToGrid/>
              <w:spacing w:line="240" w:lineRule="auto"/>
              <w:rPr>
                <w:b w:val="0"/>
                <w:shd w:val="clear" w:color="auto" w:fill="auto"/>
              </w:rPr>
            </w:pPr>
            <w:r>
              <w:rPr>
                <w:b w:val="0"/>
                <w:i w:val="0"/>
                <w:strike w:val="0"/>
                <w:spacing w:val="0"/>
                <w:sz w:val="20"/>
                <w:u w:val="none"/>
                <w:shd w:val="clear" w:color="auto" w:fill="auto"/>
              </w:rPr>
              <w:t>基于现有智能体MaaS、视觉</w:t>
            </w:r>
            <w:r>
              <w:rPr>
                <w:rFonts w:hint="eastAsia"/>
                <w:b w:val="0"/>
                <w:i w:val="0"/>
                <w:strike w:val="0"/>
                <w:spacing w:val="0"/>
                <w:sz w:val="20"/>
                <w:u w:val="none"/>
                <w:shd w:val="clear" w:color="auto" w:fill="auto"/>
                <w:lang w:val="en-US" w:eastAsia="zh-CN"/>
              </w:rPr>
              <w:t>能力</w:t>
            </w:r>
            <w:r>
              <w:rPr>
                <w:b w:val="0"/>
                <w:i w:val="0"/>
                <w:strike w:val="0"/>
                <w:spacing w:val="0"/>
                <w:sz w:val="20"/>
                <w:u w:val="none"/>
                <w:shd w:val="clear" w:color="auto" w:fill="auto"/>
              </w:rPr>
              <w:t>、审计安全平台做个性化能力拓展和改造：</w:t>
            </w:r>
          </w:p>
          <w:p w14:paraId="4B4BCD1E">
            <w:pPr>
              <w:snapToGrid/>
              <w:spacing w:line="240" w:lineRule="auto"/>
              <w:rPr>
                <w:b w:val="0"/>
                <w:shd w:val="clear" w:color="auto" w:fill="auto"/>
              </w:rPr>
            </w:pPr>
            <w:r>
              <w:rPr>
                <w:b w:val="0"/>
                <w:i w:val="0"/>
                <w:strike w:val="0"/>
                <w:spacing w:val="0"/>
                <w:sz w:val="20"/>
                <w:u w:val="none"/>
                <w:shd w:val="clear" w:color="auto" w:fill="auto"/>
              </w:rPr>
              <w:t>1、功能、页面、业务流程定制调整；</w:t>
            </w:r>
          </w:p>
          <w:p w14:paraId="75021C45">
            <w:pPr>
              <w:snapToGrid/>
              <w:spacing w:line="240" w:lineRule="auto"/>
              <w:rPr>
                <w:b w:val="0"/>
                <w:shd w:val="clear" w:color="auto" w:fill="auto"/>
              </w:rPr>
            </w:pPr>
            <w:r>
              <w:rPr>
                <w:b w:val="0"/>
                <w:i w:val="0"/>
                <w:strike w:val="0"/>
                <w:spacing w:val="0"/>
                <w:sz w:val="20"/>
                <w:u w:val="none"/>
                <w:shd w:val="clear" w:color="auto" w:fill="auto"/>
              </w:rPr>
              <w:t>2、接口开发对接、数据治理与分析；</w:t>
            </w:r>
          </w:p>
          <w:p w14:paraId="16DE2441">
            <w:pPr>
              <w:snapToGrid/>
              <w:spacing w:line="240" w:lineRule="auto"/>
              <w:rPr>
                <w:b w:val="0"/>
                <w:shd w:val="clear" w:color="auto" w:fill="auto"/>
              </w:rPr>
            </w:pPr>
            <w:r>
              <w:rPr>
                <w:b w:val="0"/>
                <w:i w:val="0"/>
                <w:strike w:val="0"/>
                <w:spacing w:val="0"/>
                <w:sz w:val="20"/>
                <w:u w:val="none"/>
                <w:shd w:val="clear" w:color="auto" w:fill="auto"/>
              </w:rPr>
              <w:t>3、模型参数专项调优；</w:t>
            </w:r>
          </w:p>
          <w:p w14:paraId="75B2CF42">
            <w:pPr>
              <w:snapToGrid/>
              <w:spacing w:line="240" w:lineRule="auto"/>
              <w:rPr>
                <w:b w:val="0"/>
                <w:shd w:val="clear" w:color="auto" w:fill="auto"/>
              </w:rPr>
            </w:pPr>
            <w:r>
              <w:rPr>
                <w:b w:val="0"/>
                <w:i w:val="0"/>
                <w:strike w:val="0"/>
                <w:spacing w:val="0"/>
                <w:sz w:val="20"/>
                <w:u w:val="none"/>
                <w:shd w:val="clear" w:color="auto" w:fill="auto"/>
              </w:rPr>
              <w:t>4、智能体、插件、工具链迭代；</w:t>
            </w:r>
          </w:p>
          <w:p w14:paraId="0EAE3C87">
            <w:pPr>
              <w:snapToGrid/>
              <w:spacing w:line="240" w:lineRule="auto"/>
              <w:rPr>
                <w:b w:val="0"/>
                <w:shd w:val="clear" w:color="auto" w:fill="auto"/>
              </w:rPr>
            </w:pPr>
            <w:r>
              <w:rPr>
                <w:b w:val="0"/>
                <w:i w:val="0"/>
                <w:strike w:val="0"/>
                <w:spacing w:val="0"/>
                <w:sz w:val="20"/>
                <w:u w:val="none"/>
                <w:shd w:val="clear" w:color="auto" w:fill="auto"/>
              </w:rPr>
              <w:t>5、标准化接口调试；</w:t>
            </w:r>
          </w:p>
          <w:p w14:paraId="216B0515">
            <w:pPr>
              <w:snapToGrid/>
              <w:spacing w:line="240" w:lineRule="auto"/>
              <w:rPr>
                <w:b w:val="0"/>
                <w:shd w:val="clear" w:color="auto" w:fill="auto"/>
              </w:rPr>
            </w:pPr>
            <w:r>
              <w:rPr>
                <w:rFonts w:hint="eastAsia"/>
                <w:b w:val="0"/>
                <w:i w:val="0"/>
                <w:strike w:val="0"/>
                <w:spacing w:val="0"/>
                <w:sz w:val="20"/>
                <w:u w:val="none"/>
                <w:shd w:val="clear" w:color="auto" w:fill="auto"/>
              </w:rPr>
              <w:t>四、</w:t>
            </w:r>
            <w:r>
              <w:rPr>
                <w:b w:val="0"/>
                <w:i w:val="0"/>
                <w:strike w:val="0"/>
                <w:spacing w:val="0"/>
                <w:sz w:val="20"/>
                <w:u w:val="none"/>
                <w:shd w:val="clear" w:color="auto" w:fill="auto"/>
              </w:rPr>
              <w:t>数智化转型支撑</w:t>
            </w:r>
          </w:p>
          <w:p w14:paraId="55F01728">
            <w:pPr>
              <w:snapToGrid/>
              <w:spacing w:line="240" w:lineRule="auto"/>
              <w:rPr>
                <w:b w:val="0"/>
                <w:shd w:val="clear" w:color="auto" w:fill="auto"/>
              </w:rPr>
            </w:pPr>
            <w:r>
              <w:rPr>
                <w:b w:val="0"/>
                <w:i w:val="0"/>
                <w:strike w:val="0"/>
                <w:spacing w:val="0"/>
                <w:sz w:val="20"/>
                <w:u w:val="none"/>
                <w:shd w:val="clear" w:color="auto" w:fill="auto"/>
              </w:rPr>
              <w:t>运用大数据与AI技术，搭建数智化审计、视觉</w:t>
            </w:r>
            <w:r>
              <w:rPr>
                <w:rFonts w:hint="eastAsia"/>
                <w:b w:val="0"/>
                <w:i w:val="0"/>
                <w:strike w:val="0"/>
                <w:spacing w:val="0"/>
                <w:sz w:val="20"/>
                <w:u w:val="none"/>
                <w:shd w:val="clear" w:color="auto" w:fill="auto"/>
                <w:lang w:val="en-US" w:eastAsia="zh-CN"/>
              </w:rPr>
              <w:t>能力</w:t>
            </w:r>
            <w:r>
              <w:rPr>
                <w:b w:val="0"/>
                <w:i w:val="0"/>
                <w:strike w:val="0"/>
                <w:spacing w:val="0"/>
                <w:sz w:val="20"/>
                <w:u w:val="none"/>
                <w:shd w:val="clear" w:color="auto" w:fill="auto"/>
              </w:rPr>
              <w:t>、安全等体系，助力</w:t>
            </w:r>
            <w:r>
              <w:rPr>
                <w:rFonts w:hint="eastAsia"/>
                <w:b w:val="0"/>
                <w:i w:val="0"/>
                <w:strike w:val="0"/>
                <w:spacing w:val="0"/>
                <w:sz w:val="20"/>
                <w:u w:val="none"/>
                <w:shd w:val="clear" w:color="auto" w:fill="auto"/>
                <w:lang w:val="en-US" w:eastAsia="zh-CN"/>
              </w:rPr>
              <w:t>产品</w:t>
            </w:r>
            <w:r>
              <w:rPr>
                <w:b w:val="0"/>
                <w:i w:val="0"/>
                <w:strike w:val="0"/>
                <w:spacing w:val="0"/>
                <w:sz w:val="20"/>
                <w:u w:val="none"/>
                <w:shd w:val="clear" w:color="auto" w:fill="auto"/>
              </w:rPr>
              <w:t>智能化升级。</w:t>
            </w:r>
          </w:p>
          <w:p w14:paraId="0B07B5A4">
            <w:pPr>
              <w:snapToGrid/>
              <w:spacing w:line="240" w:lineRule="auto"/>
              <w:rPr>
                <w:b w:val="0"/>
                <w:shd w:val="clear" w:color="auto" w:fill="auto"/>
              </w:rPr>
            </w:pPr>
            <w:r>
              <w:rPr>
                <w:rFonts w:hint="eastAsia"/>
                <w:b w:val="0"/>
                <w:i w:val="0"/>
                <w:strike w:val="0"/>
                <w:spacing w:val="0"/>
                <w:sz w:val="20"/>
                <w:u w:val="none"/>
                <w:shd w:val="clear" w:color="auto" w:fill="auto"/>
              </w:rPr>
              <w:t>五、</w:t>
            </w:r>
            <w:r>
              <w:rPr>
                <w:b w:val="0"/>
                <w:i w:val="0"/>
                <w:strike w:val="0"/>
                <w:spacing w:val="0"/>
                <w:sz w:val="20"/>
                <w:u w:val="none"/>
                <w:shd w:val="clear" w:color="auto" w:fill="auto"/>
              </w:rPr>
              <w:t>交付支撑</w:t>
            </w:r>
          </w:p>
          <w:p w14:paraId="68F43044">
            <w:pPr>
              <w:snapToGrid/>
              <w:spacing w:line="240" w:lineRule="auto"/>
              <w:rPr>
                <w:b w:val="0"/>
                <w:shd w:val="clear" w:color="auto" w:fill="auto"/>
              </w:rPr>
            </w:pPr>
            <w:r>
              <w:rPr>
                <w:b w:val="0"/>
                <w:i w:val="0"/>
                <w:strike w:val="0"/>
                <w:spacing w:val="0"/>
                <w:sz w:val="20"/>
                <w:u w:val="none"/>
                <w:shd w:val="clear" w:color="auto" w:fill="auto"/>
              </w:rPr>
              <w:t>1、部署配置：完成平台部署，参数、网络、权限设置，并开展功能测试；</w:t>
            </w:r>
          </w:p>
          <w:p w14:paraId="29E25CFB">
            <w:pPr>
              <w:snapToGrid/>
              <w:spacing w:line="240" w:lineRule="auto"/>
              <w:rPr>
                <w:b w:val="0"/>
                <w:shd w:val="clear" w:color="auto" w:fill="auto"/>
              </w:rPr>
            </w:pPr>
            <w:r>
              <w:rPr>
                <w:b w:val="0"/>
                <w:i w:val="0"/>
                <w:strike w:val="0"/>
                <w:spacing w:val="0"/>
                <w:sz w:val="20"/>
                <w:u w:val="none"/>
                <w:shd w:val="clear" w:color="auto" w:fill="auto"/>
              </w:rPr>
              <w:t>2、进度管理：制定交付计划，跟踪进度，管控延期风险；</w:t>
            </w:r>
          </w:p>
          <w:p w14:paraId="7BF7613E">
            <w:pPr>
              <w:snapToGrid/>
              <w:spacing w:line="240" w:lineRule="auto"/>
              <w:rPr>
                <w:b w:val="0"/>
                <w:shd w:val="clear" w:color="auto" w:fill="auto"/>
              </w:rPr>
            </w:pPr>
            <w:r>
              <w:rPr>
                <w:b w:val="0"/>
                <w:i w:val="0"/>
                <w:strike w:val="0"/>
                <w:spacing w:val="0"/>
                <w:sz w:val="20"/>
                <w:u w:val="none"/>
                <w:shd w:val="clear" w:color="auto" w:fill="auto"/>
              </w:rPr>
              <w:t>3、问题处置：解决交付突发问题，解答客户相关疑问；</w:t>
            </w:r>
          </w:p>
          <w:p w14:paraId="300E18DE">
            <w:pPr>
              <w:snapToGrid/>
              <w:spacing w:line="240" w:lineRule="auto"/>
              <w:rPr>
                <w:b w:val="0"/>
                <w:shd w:val="clear" w:color="auto" w:fill="auto"/>
              </w:rPr>
            </w:pPr>
            <w:r>
              <w:rPr>
                <w:b w:val="0"/>
                <w:i w:val="0"/>
                <w:strike w:val="0"/>
                <w:spacing w:val="0"/>
                <w:sz w:val="20"/>
                <w:u w:val="none"/>
                <w:shd w:val="clear" w:color="auto" w:fill="auto"/>
              </w:rPr>
              <w:t>4、验收归档：协助验收，整理留存全套项目文档；</w:t>
            </w:r>
          </w:p>
          <w:p w14:paraId="7F501B20">
            <w:pPr>
              <w:snapToGrid/>
              <w:spacing w:line="240" w:lineRule="auto"/>
              <w:rPr>
                <w:b w:val="0"/>
                <w:shd w:val="clear" w:color="auto" w:fill="auto"/>
              </w:rPr>
            </w:pPr>
            <w:r>
              <w:rPr>
                <w:rFonts w:hint="eastAsia"/>
                <w:b w:val="0"/>
                <w:i w:val="0"/>
                <w:strike w:val="0"/>
                <w:spacing w:val="0"/>
                <w:sz w:val="20"/>
                <w:u w:val="none"/>
                <w:shd w:val="clear" w:color="auto" w:fill="auto"/>
              </w:rPr>
              <w:t>六、</w:t>
            </w:r>
            <w:r>
              <w:rPr>
                <w:b w:val="0"/>
                <w:i w:val="0"/>
                <w:strike w:val="0"/>
                <w:spacing w:val="0"/>
                <w:sz w:val="20"/>
                <w:u w:val="none"/>
                <w:shd w:val="clear" w:color="auto" w:fill="auto"/>
              </w:rPr>
              <w:t>售后支撑</w:t>
            </w:r>
          </w:p>
          <w:p w14:paraId="3591EB7B">
            <w:pPr>
              <w:snapToGrid/>
              <w:spacing w:line="240" w:lineRule="auto"/>
              <w:rPr>
                <w:b w:val="0"/>
                <w:shd w:val="clear" w:color="auto" w:fill="auto"/>
              </w:rPr>
            </w:pPr>
            <w:r>
              <w:rPr>
                <w:b w:val="0"/>
                <w:i w:val="0"/>
                <w:strike w:val="0"/>
                <w:spacing w:val="0"/>
                <w:sz w:val="20"/>
                <w:u w:val="none"/>
                <w:shd w:val="clear" w:color="auto" w:fill="auto"/>
              </w:rPr>
              <w:t>1、日常答疑，整理使用问答文档</w:t>
            </w:r>
          </w:p>
          <w:p w14:paraId="18131C07">
            <w:pPr>
              <w:snapToGrid/>
              <w:spacing w:line="240" w:lineRule="auto"/>
              <w:rPr>
                <w:b w:val="0"/>
                <w:shd w:val="clear" w:color="auto" w:fill="auto"/>
              </w:rPr>
            </w:pPr>
            <w:r>
              <w:rPr>
                <w:b w:val="0"/>
                <w:i w:val="0"/>
                <w:strike w:val="0"/>
                <w:spacing w:val="0"/>
                <w:sz w:val="20"/>
                <w:u w:val="none"/>
                <w:shd w:val="clear" w:color="auto" w:fill="auto"/>
              </w:rPr>
              <w:t>2、闭环处理客户投诉与建议</w:t>
            </w:r>
          </w:p>
          <w:p w14:paraId="3C161F7A">
            <w:pPr>
              <w:pBdr>
                <w:bottom w:val="none" w:color="auto" w:sz="0" w:space="0"/>
              </w:pBdr>
              <w:snapToGrid/>
              <w:spacing w:line="240" w:lineRule="auto"/>
              <w:rPr>
                <w:b w:val="0"/>
                <w:shd w:val="clear" w:color="auto" w:fill="auto"/>
              </w:rPr>
            </w:pPr>
            <w:r>
              <w:rPr>
                <w:b w:val="0"/>
                <w:i w:val="0"/>
                <w:strike w:val="0"/>
                <w:spacing w:val="0"/>
                <w:sz w:val="20"/>
                <w:u w:val="none"/>
                <w:shd w:val="clear" w:color="auto" w:fill="auto"/>
              </w:rPr>
              <w:t>3、系统操作培训及不定期回访；</w:t>
            </w:r>
          </w:p>
        </w:tc>
        <w:tc>
          <w:tcPr>
            <w:tcW w:w="1315" w:type="dxa"/>
            <w:shd w:val="clear" w:color="auto" w:fill="auto"/>
            <w:vAlign w:val="center"/>
          </w:tcPr>
          <w:p w14:paraId="545AAD5E">
            <w:pPr>
              <w:widowControl/>
              <w:spacing w:before="0" w:after="0" w:line="240" w:lineRule="auto"/>
              <w:ind w:firstLine="0" w:firstLineChars="0"/>
              <w:jc w:val="center"/>
              <w:textAlignment w:val="center"/>
              <w:rPr>
                <w:rFonts w:hint="eastAsia" w:asciiTheme="minorEastAsia" w:hAnsiTheme="minorEastAsia" w:eastAsiaTheme="minorEastAsia" w:cstheme="minorEastAsia"/>
                <w:b/>
                <w:bCs/>
                <w:color w:val="000000"/>
                <w:kern w:val="0"/>
                <w:sz w:val="20"/>
                <w:szCs w:val="20"/>
                <w:highlight w:val="none"/>
                <w:shd w:val="clear" w:color="auto" w:fill="auto"/>
                <w:lang w:bidi="ar"/>
              </w:rPr>
            </w:pPr>
            <w:r>
              <w:rPr>
                <w:rFonts w:hint="eastAsia" w:asciiTheme="minorEastAsia" w:hAnsiTheme="minorEastAsia" w:eastAsiaTheme="minorEastAsia" w:cstheme="minorEastAsia"/>
                <w:b/>
                <w:bCs/>
                <w:color w:val="000000"/>
                <w:kern w:val="0"/>
                <w:sz w:val="20"/>
                <w:szCs w:val="20"/>
                <w:highlight w:val="none"/>
                <w:shd w:val="clear" w:color="auto" w:fill="auto"/>
                <w:lang w:bidi="ar"/>
              </w:rPr>
              <w:t>29167</w:t>
            </w:r>
          </w:p>
        </w:tc>
      </w:tr>
      <w:tr w14:paraId="2CC24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717" w:type="dxa"/>
            <w:gridSpan w:val="4"/>
            <w:shd w:val="clear" w:color="auto" w:fill="auto"/>
            <w:vAlign w:val="center"/>
          </w:tcPr>
          <w:p w14:paraId="02BBB936">
            <w:pPr>
              <w:widowControl/>
              <w:spacing w:before="0" w:after="0" w:line="240" w:lineRule="auto"/>
              <w:ind w:firstLine="0" w:firstLineChars="0"/>
              <w:jc w:val="right"/>
              <w:textAlignment w:val="center"/>
              <w:rPr>
                <w:rFonts w:hint="eastAsia" w:asciiTheme="minorEastAsia" w:hAnsiTheme="minorEastAsia" w:eastAsiaTheme="minorEastAsia" w:cstheme="minorEastAsia"/>
                <w:color w:val="000000"/>
                <w:sz w:val="20"/>
                <w:szCs w:val="20"/>
                <w:highlight w:val="none"/>
                <w:shd w:val="clear" w:color="auto" w:fill="FFFF00"/>
              </w:rPr>
            </w:pPr>
            <w:r>
              <w:rPr>
                <w:rFonts w:hint="eastAsia" w:asciiTheme="minorEastAsia" w:hAnsiTheme="minorEastAsia" w:eastAsiaTheme="minorEastAsia" w:cstheme="minorEastAsia"/>
                <w:color w:val="000000"/>
                <w:sz w:val="20"/>
                <w:szCs w:val="20"/>
                <w:highlight w:val="none"/>
                <w:shd w:val="clear" w:color="auto" w:fill="auto"/>
              </w:rPr>
              <w:t>总计：2</w:t>
            </w:r>
            <w:r>
              <w:rPr>
                <w:rFonts w:hint="eastAsia" w:asciiTheme="minorEastAsia" w:hAnsiTheme="minorEastAsia" w:eastAsiaTheme="minorEastAsia" w:cstheme="minorEastAsia"/>
                <w:color w:val="000000"/>
                <w:sz w:val="20"/>
                <w:szCs w:val="20"/>
                <w:highlight w:val="none"/>
                <w:shd w:val="clear" w:color="auto" w:fill="auto"/>
              </w:rPr>
              <w:t>9167人天</w:t>
            </w:r>
          </w:p>
        </w:tc>
      </w:tr>
    </w:tbl>
    <w:p w14:paraId="1196E977">
      <w:pPr>
        <w:adjustRightInd w:val="0"/>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 xml:space="preserve">服务工作量预估如下表所示： </w:t>
      </w:r>
    </w:p>
    <w:p w14:paraId="6AC30615">
      <w:pPr>
        <w:autoSpaceDE w:val="0"/>
        <w:autoSpaceDN w:val="0"/>
        <w:adjustRightInd w:val="0"/>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注：本项目预估采购</w:t>
      </w:r>
      <w:r>
        <w:rPr>
          <w:rFonts w:hint="eastAsia" w:asciiTheme="minorEastAsia" w:hAnsiTheme="minorEastAsia" w:eastAsiaTheme="minorEastAsia" w:cstheme="minorEastAsia"/>
          <w:highlight w:val="none"/>
          <w:shd w:val="clear" w:color="auto" w:fill="auto"/>
          <w:lang w:val="en-US" w:eastAsia="zh-CN"/>
        </w:rPr>
        <w:t>29167</w:t>
      </w:r>
      <w:r>
        <w:rPr>
          <w:rFonts w:hint="eastAsia" w:asciiTheme="minorEastAsia" w:hAnsiTheme="minorEastAsia" w:eastAsiaTheme="minorEastAsia" w:cstheme="minorEastAsia"/>
          <w:highlight w:val="none"/>
          <w:shd w:val="clear" w:color="auto" w:fill="auto"/>
        </w:rPr>
        <w:t>个服务工作量人天（具体工作量需求以任务订单及实际工作量为准，以框架+订单模式+考核进行结算）。</w:t>
      </w:r>
    </w:p>
    <w:p w14:paraId="752BA056">
      <w:pPr>
        <w:pStyle w:val="2"/>
        <w:numPr>
          <w:ilvl w:val="0"/>
          <w:numId w:val="2"/>
        </w:numPr>
        <w:rPr>
          <w:rFonts w:hint="eastAsia" w:asciiTheme="minorEastAsia" w:hAnsiTheme="minorEastAsia" w:eastAsiaTheme="minorEastAsia" w:cstheme="minorEastAsia"/>
          <w:sz w:val="30"/>
          <w:szCs w:val="30"/>
          <w:highlight w:val="none"/>
          <w:shd w:val="clear" w:color="auto" w:fill="auto"/>
        </w:rPr>
      </w:pPr>
      <w:bookmarkStart w:id="7" w:name="_Toc488424813"/>
      <w:r>
        <w:rPr>
          <w:rFonts w:hint="eastAsia" w:asciiTheme="minorEastAsia" w:hAnsiTheme="minorEastAsia" w:eastAsiaTheme="minorEastAsia" w:cstheme="minorEastAsia"/>
          <w:sz w:val="30"/>
          <w:szCs w:val="30"/>
          <w:highlight w:val="none"/>
          <w:shd w:val="clear" w:color="auto" w:fill="auto"/>
        </w:rPr>
        <w:t>安全规范</w:t>
      </w:r>
      <w:bookmarkEnd w:id="7"/>
    </w:p>
    <w:p w14:paraId="5EEAD618">
      <w:pPr>
        <w:ind w:firstLine="480"/>
        <w:rPr>
          <w:rFonts w:hint="eastAsia" w:asciiTheme="minorEastAsia" w:hAnsiTheme="minorEastAsia" w:eastAsiaTheme="minorEastAsia" w:cstheme="minorEastAsia"/>
          <w:szCs w:val="28"/>
          <w:highlight w:val="none"/>
          <w:shd w:val="clear" w:color="auto" w:fill="auto"/>
        </w:rPr>
      </w:pPr>
      <w:bookmarkStart w:id="8" w:name="OLE_LINK2"/>
      <w:r>
        <w:rPr>
          <w:rFonts w:hint="eastAsia" w:asciiTheme="minorEastAsia" w:hAnsiTheme="minorEastAsia" w:eastAsiaTheme="minorEastAsia" w:cstheme="minorEastAsia"/>
          <w:szCs w:val="28"/>
          <w:highlight w:val="none"/>
          <w:shd w:val="clear" w:color="auto" w:fill="auto"/>
        </w:rPr>
        <w:t>支撑过程中的安全管理要求主要包括：</w:t>
      </w:r>
    </w:p>
    <w:p w14:paraId="5D28A9CC">
      <w:pPr>
        <w:ind w:firstLine="480"/>
        <w:rPr>
          <w:rFonts w:hint="eastAsia" w:asciiTheme="minorEastAsia" w:hAnsiTheme="minorEastAsia" w:eastAsiaTheme="minorEastAsia" w:cstheme="minorEastAsia"/>
          <w:szCs w:val="28"/>
          <w:highlight w:val="none"/>
          <w:shd w:val="clear" w:color="auto" w:fill="auto"/>
        </w:rPr>
      </w:pPr>
      <w:r>
        <w:rPr>
          <w:rFonts w:hint="eastAsia" w:asciiTheme="minorEastAsia" w:hAnsiTheme="minorEastAsia" w:eastAsiaTheme="minorEastAsia" w:cstheme="minorEastAsia"/>
          <w:szCs w:val="28"/>
          <w:highlight w:val="none"/>
          <w:shd w:val="clear" w:color="auto" w:fill="auto"/>
        </w:rPr>
        <w:t>（1）安全威胁分析：系统资产识别、体系结构分析、应用系统分解、威胁识别、威胁报告。</w:t>
      </w:r>
    </w:p>
    <w:p w14:paraId="68544902">
      <w:pPr>
        <w:ind w:firstLine="480"/>
        <w:rPr>
          <w:rFonts w:hint="eastAsia" w:asciiTheme="minorEastAsia" w:hAnsiTheme="minorEastAsia" w:eastAsiaTheme="minorEastAsia" w:cstheme="minorEastAsia"/>
          <w:szCs w:val="28"/>
          <w:highlight w:val="none"/>
          <w:shd w:val="clear" w:color="auto" w:fill="auto"/>
        </w:rPr>
      </w:pPr>
      <w:r>
        <w:rPr>
          <w:rFonts w:hint="eastAsia" w:asciiTheme="minorEastAsia" w:hAnsiTheme="minorEastAsia" w:eastAsiaTheme="minorEastAsia" w:cstheme="minorEastAsia"/>
          <w:szCs w:val="28"/>
          <w:highlight w:val="none"/>
          <w:shd w:val="clear" w:color="auto" w:fill="auto"/>
        </w:rPr>
        <w:t>（2）安全功能需求：帐号管理功能、帐号认证功能、帐号授权功能、日志审计功能、功能菜单以及敏感数据访问控制功能、接口安全功能、安全域保护要求。</w:t>
      </w:r>
    </w:p>
    <w:p w14:paraId="38654935">
      <w:pPr>
        <w:ind w:firstLine="480"/>
        <w:rPr>
          <w:rFonts w:hint="eastAsia" w:asciiTheme="minorEastAsia" w:hAnsiTheme="minorEastAsia" w:eastAsiaTheme="minorEastAsia" w:cstheme="minorEastAsia"/>
          <w:b/>
          <w:szCs w:val="28"/>
          <w:highlight w:val="none"/>
          <w:shd w:val="clear" w:color="auto" w:fill="auto"/>
        </w:rPr>
      </w:pPr>
      <w:r>
        <w:rPr>
          <w:rFonts w:hint="eastAsia" w:asciiTheme="minorEastAsia" w:hAnsiTheme="minorEastAsia" w:eastAsiaTheme="minorEastAsia" w:cstheme="minorEastAsia"/>
          <w:szCs w:val="28"/>
          <w:highlight w:val="none"/>
          <w:shd w:val="clear" w:color="auto" w:fill="auto"/>
        </w:rPr>
        <w:t>应符合中国移动相关安全管理规范。</w:t>
      </w:r>
      <w:bookmarkEnd w:id="8"/>
    </w:p>
    <w:bookmarkEnd w:id="4"/>
    <w:bookmarkEnd w:id="5"/>
    <w:bookmarkEnd w:id="6"/>
    <w:p w14:paraId="5E8D3A0D">
      <w:pPr>
        <w:pStyle w:val="2"/>
        <w:numPr>
          <w:ilvl w:val="0"/>
          <w:numId w:val="2"/>
        </w:numPr>
        <w:rPr>
          <w:rFonts w:hint="eastAsia" w:asciiTheme="minorEastAsia" w:hAnsiTheme="minorEastAsia" w:eastAsiaTheme="minorEastAsia" w:cstheme="minorEastAsia"/>
          <w:sz w:val="30"/>
          <w:szCs w:val="30"/>
          <w:highlight w:val="none"/>
          <w:shd w:val="clear" w:color="auto" w:fill="auto"/>
        </w:rPr>
      </w:pPr>
      <w:r>
        <w:rPr>
          <w:rFonts w:hint="eastAsia" w:asciiTheme="minorEastAsia" w:hAnsiTheme="minorEastAsia" w:eastAsiaTheme="minorEastAsia" w:cstheme="minorEastAsia"/>
          <w:sz w:val="30"/>
          <w:szCs w:val="30"/>
          <w:highlight w:val="none"/>
          <w:shd w:val="clear" w:color="auto" w:fill="auto"/>
        </w:rPr>
        <w:t>技术支撑服务管理体系及要求</w:t>
      </w:r>
    </w:p>
    <w:p w14:paraId="69C8AA9A">
      <w:pPr>
        <w:numPr>
          <w:ilvl w:val="0"/>
          <w:numId w:val="4"/>
        </w:num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技术支撑服务人员要求</w:t>
      </w:r>
    </w:p>
    <w:p w14:paraId="0427380D">
      <w:pPr>
        <w:numPr>
          <w:ilvl w:val="0"/>
          <w:numId w:val="5"/>
        </w:numPr>
        <w:spacing w:before="124" w:after="124" w:line="240" w:lineRule="auto"/>
        <w:ind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项目经理</w:t>
      </w:r>
    </w:p>
    <w:p w14:paraId="2E0418DD">
      <w:pPr>
        <w:ind w:firstLine="424" w:firstLineChars="177"/>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pPr>
      <w:r>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t>针对本项目，乙方应指定一名项目经理，</w:t>
      </w:r>
      <w:bookmarkStart w:id="9" w:name="_Hlk149044616"/>
      <w:r>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t>负责服务团队的日常管理、甲乙双方的协调沟通、资源的调配、服务实施的管理、服务报告提交和质量管控等工作。</w:t>
      </w:r>
    </w:p>
    <w:p w14:paraId="13054ECD">
      <w:pPr>
        <w:ind w:firstLine="424" w:firstLineChars="177"/>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pPr>
      <w:r>
        <w:rPr>
          <w:rFonts w:hint="eastAsia" w:asciiTheme="minorEastAsia" w:hAnsiTheme="minorEastAsia" w:eastAsiaTheme="minorEastAsia" w:cstheme="minorEastAsia"/>
          <w:color w:val="000000" w:themeColor="text1"/>
          <w:highlight w:val="none"/>
          <w:shd w:val="clear" w:color="auto" w:fill="auto"/>
          <w14:textFill>
            <w14:solidFill>
              <w14:schemeClr w14:val="tx1"/>
            </w14:solidFill>
          </w14:textFill>
        </w:rPr>
        <w:t>项目经理应具备如下要求：</w:t>
      </w:r>
    </w:p>
    <w:bookmarkEnd w:id="9"/>
    <w:p w14:paraId="40157991">
      <w:pPr>
        <w:spacing w:before="0" w:after="0"/>
        <w:ind w:firstLine="199" w:firstLineChars="83"/>
        <w:jc w:val="left"/>
        <w:rPr>
          <w:rFonts w:hint="eastAsia" w:asciiTheme="minorEastAsia" w:hAnsiTheme="minorEastAsia" w:eastAsiaTheme="minorEastAsia" w:cstheme="minorEastAsia"/>
          <w:szCs w:val="22"/>
          <w:highlight w:val="none"/>
          <w:shd w:val="clear" w:color="auto" w:fill="auto"/>
          <w:lang w:eastAsia="zh-CN"/>
        </w:rPr>
      </w:pPr>
      <w:r>
        <w:rPr>
          <w:rFonts w:hint="eastAsia" w:asciiTheme="minorEastAsia" w:hAnsiTheme="minorEastAsia" w:eastAsiaTheme="minorEastAsia" w:cstheme="minorEastAsia"/>
          <w:szCs w:val="22"/>
          <w:highlight w:val="none"/>
          <w:shd w:val="clear" w:color="auto" w:fill="auto"/>
        </w:rPr>
        <w:t>（1）负责组织、协调、统筹乙方项目运营和管理</w:t>
      </w:r>
      <w:r>
        <w:rPr>
          <w:rFonts w:hint="eastAsia" w:asciiTheme="minorEastAsia" w:hAnsiTheme="minorEastAsia" w:eastAsiaTheme="minorEastAsia" w:cstheme="minorEastAsia"/>
          <w:szCs w:val="22"/>
          <w:highlight w:val="none"/>
          <w:shd w:val="clear" w:color="auto" w:fill="auto"/>
          <w:lang w:eastAsia="zh-CN"/>
        </w:rPr>
        <w:t>；</w:t>
      </w:r>
    </w:p>
    <w:p w14:paraId="15BAB52D">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szCs w:val="22"/>
          <w:highlight w:val="none"/>
          <w:shd w:val="clear" w:color="auto" w:fill="auto"/>
        </w:rPr>
        <w:t>（2）制定和修正项目管理相关的管理制度和工作流程</w:t>
      </w:r>
      <w:r>
        <w:rPr>
          <w:rFonts w:hint="eastAsia" w:asciiTheme="minorEastAsia" w:hAnsiTheme="minorEastAsia" w:eastAsiaTheme="minorEastAsia" w:cstheme="minorEastAsia"/>
          <w:szCs w:val="22"/>
          <w:highlight w:val="none"/>
          <w:shd w:val="clear" w:color="auto" w:fill="auto"/>
          <w:lang w:eastAsia="zh-CN"/>
        </w:rPr>
        <w:t>；</w:t>
      </w:r>
    </w:p>
    <w:p w14:paraId="46DAFD0C">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highlight w:val="none"/>
          <w:shd w:val="clear" w:color="auto" w:fill="auto"/>
        </w:rPr>
        <w:t>（3）具有良好的服务意识与管理能力</w:t>
      </w:r>
      <w:r>
        <w:rPr>
          <w:rFonts w:hint="eastAsia" w:asciiTheme="minorEastAsia" w:hAnsiTheme="minorEastAsia" w:eastAsiaTheme="minorEastAsia" w:cstheme="minorEastAsia"/>
          <w:highlight w:val="none"/>
          <w:shd w:val="clear" w:color="auto" w:fill="auto"/>
          <w:lang w:eastAsia="zh-CN"/>
        </w:rPr>
        <w:t>；</w:t>
      </w:r>
    </w:p>
    <w:p w14:paraId="7060F9A0">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highlight w:val="none"/>
          <w:shd w:val="clear" w:color="auto" w:fill="auto"/>
        </w:rPr>
        <w:t>（4）具有良好的分析能力、文字表达能力与沟通能力</w:t>
      </w:r>
      <w:r>
        <w:rPr>
          <w:rFonts w:hint="eastAsia" w:asciiTheme="minorEastAsia" w:hAnsiTheme="minorEastAsia" w:eastAsiaTheme="minorEastAsia" w:cstheme="minorEastAsia"/>
          <w:highlight w:val="none"/>
          <w:shd w:val="clear" w:color="auto" w:fill="auto"/>
          <w:lang w:eastAsia="zh-CN"/>
        </w:rPr>
        <w:t>；</w:t>
      </w:r>
    </w:p>
    <w:p w14:paraId="2F4D0F76">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highlight w:val="none"/>
          <w:shd w:val="clear" w:color="auto" w:fill="auto"/>
        </w:rPr>
        <w:t>（5）10年及以上工作经验</w:t>
      </w:r>
      <w:r>
        <w:rPr>
          <w:rFonts w:hint="eastAsia" w:asciiTheme="minorEastAsia" w:hAnsiTheme="minorEastAsia" w:eastAsiaTheme="minorEastAsia" w:cstheme="minorEastAsia"/>
          <w:highlight w:val="none"/>
          <w:shd w:val="clear" w:color="auto" w:fill="auto"/>
          <w:lang w:eastAsia="zh-CN"/>
        </w:rPr>
        <w:t>；</w:t>
      </w:r>
    </w:p>
    <w:p w14:paraId="714A2275">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highlight w:val="none"/>
          <w:shd w:val="clear" w:color="auto" w:fill="auto"/>
        </w:rPr>
        <w:t>（6）具备本科及以上学历</w:t>
      </w:r>
      <w:r>
        <w:rPr>
          <w:rFonts w:hint="eastAsia" w:asciiTheme="minorEastAsia" w:hAnsiTheme="minorEastAsia" w:eastAsiaTheme="minorEastAsia" w:cstheme="minorEastAsia"/>
          <w:highlight w:val="none"/>
          <w:shd w:val="clear" w:color="auto" w:fill="auto"/>
          <w:lang w:eastAsia="zh-CN"/>
        </w:rPr>
        <w:t>；</w:t>
      </w:r>
    </w:p>
    <w:p w14:paraId="2FD15F30">
      <w:pPr>
        <w:spacing w:before="0" w:after="0"/>
        <w:ind w:firstLineChars="0"/>
        <w:jc w:val="left"/>
        <w:rPr>
          <w:rFonts w:hint="eastAsia" w:asciiTheme="minorEastAsia" w:hAnsiTheme="minorEastAsia" w:eastAsiaTheme="minorEastAsia" w:cstheme="minorEastAsia"/>
          <w:highlight w:val="none"/>
          <w:shd w:val="clear" w:color="auto" w:fill="auto"/>
          <w:lang w:eastAsia="zh-CN"/>
        </w:rPr>
      </w:pPr>
      <w:r>
        <w:rPr>
          <w:rFonts w:hint="eastAsia" w:asciiTheme="minorEastAsia" w:hAnsiTheme="minorEastAsia" w:eastAsiaTheme="minorEastAsia" w:cstheme="minorEastAsia"/>
          <w:highlight w:val="none"/>
          <w:shd w:val="clear" w:color="auto" w:fill="auto"/>
        </w:rPr>
        <w:t>（7）具备高级及以上职称或PMP认证</w:t>
      </w:r>
      <w:r>
        <w:rPr>
          <w:rFonts w:hint="eastAsia" w:asciiTheme="minorEastAsia" w:hAnsiTheme="minorEastAsia" w:eastAsiaTheme="minorEastAsia" w:cstheme="minorEastAsia"/>
          <w:highlight w:val="none"/>
          <w:shd w:val="clear" w:color="auto" w:fill="auto"/>
          <w:lang w:eastAsia="zh-CN"/>
        </w:rPr>
        <w:t>；</w:t>
      </w:r>
    </w:p>
    <w:p w14:paraId="3335060E">
      <w:pPr>
        <w:spacing w:before="0" w:after="0"/>
        <w:ind w:firstLineChars="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lang w:eastAsia="zh-CN"/>
        </w:rPr>
        <w:t>（</w:t>
      </w:r>
      <w:r>
        <w:rPr>
          <w:rFonts w:hint="eastAsia" w:asciiTheme="minorEastAsia" w:hAnsiTheme="minorEastAsia" w:eastAsiaTheme="minorEastAsia" w:cstheme="minorEastAsia"/>
          <w:highlight w:val="none"/>
          <w:shd w:val="clear" w:color="auto" w:fill="auto"/>
          <w:lang w:val="en-US" w:eastAsia="zh-CN"/>
        </w:rPr>
        <w:t>8</w:t>
      </w:r>
      <w:r>
        <w:rPr>
          <w:rFonts w:hint="eastAsia" w:asciiTheme="minorEastAsia" w:hAnsiTheme="minorEastAsia" w:eastAsiaTheme="minorEastAsia" w:cstheme="minorEastAsia"/>
          <w:highlight w:val="none"/>
          <w:shd w:val="clear" w:color="auto" w:fill="auto"/>
          <w:lang w:eastAsia="zh-CN"/>
        </w:rPr>
        <w:t>）</w:t>
      </w:r>
      <w:r>
        <w:rPr>
          <w:rFonts w:hint="eastAsia" w:asciiTheme="minorEastAsia" w:hAnsiTheme="minorEastAsia" w:eastAsiaTheme="minorEastAsia" w:cstheme="minorEastAsia"/>
          <w:highlight w:val="none"/>
          <w:shd w:val="clear" w:color="auto" w:fill="auto"/>
        </w:rPr>
        <w:t>具备以下专业认证之一：HCIP、HCIE、ACP、ACE、CCNP、CCIE、</w:t>
      </w:r>
      <w:r>
        <w:rPr>
          <w:rFonts w:hint="eastAsia" w:asciiTheme="minorEastAsia" w:hAnsiTheme="minorEastAsia" w:eastAsiaTheme="minorEastAsia" w:cstheme="minorEastAsia"/>
          <w:highlight w:val="none"/>
          <w:shd w:val="clear" w:color="auto" w:fill="auto"/>
          <w:lang w:val="en-US" w:eastAsia="zh-CN"/>
        </w:rPr>
        <w:t>CISP、</w:t>
      </w:r>
      <w:r>
        <w:rPr>
          <w:rFonts w:hint="eastAsia" w:asciiTheme="minorEastAsia" w:hAnsiTheme="minorEastAsia" w:eastAsiaTheme="minorEastAsia" w:cstheme="minorEastAsia"/>
          <w:highlight w:val="none"/>
          <w:shd w:val="clear" w:color="auto" w:fill="auto"/>
        </w:rPr>
        <w:t>计算机技术与软件专业技术资格（水平）考试中级及以上证书。</w:t>
      </w:r>
    </w:p>
    <w:p w14:paraId="4E0E37AD">
      <w:pPr>
        <w:numPr>
          <w:ilvl w:val="0"/>
          <w:numId w:val="5"/>
        </w:numPr>
        <w:spacing w:before="124" w:after="124" w:line="240" w:lineRule="auto"/>
        <w:ind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技术支撑服务团队</w:t>
      </w:r>
      <w:bookmarkStart w:id="12" w:name="_GoBack"/>
      <w:bookmarkEnd w:id="12"/>
    </w:p>
    <w:p w14:paraId="282BA6B1">
      <w:pPr>
        <w:ind w:firstLine="480"/>
        <w:rPr>
          <w:rFonts w:hint="eastAsia" w:asciiTheme="minorEastAsia" w:hAnsiTheme="minorEastAsia" w:eastAsiaTheme="minorEastAsia" w:cstheme="minorEastAsia"/>
          <w:bCs/>
          <w:color w:val="000000" w:themeColor="text1"/>
          <w:highlight w:val="none"/>
          <w:shd w:val="clear" w:color="auto" w:fill="auto"/>
          <w14:textFill>
            <w14:solidFill>
              <w14:schemeClr w14:val="tx1"/>
            </w14:solidFill>
          </w14:textFill>
        </w:rPr>
      </w:pPr>
      <w:r>
        <w:rPr>
          <w:rFonts w:hint="eastAsia" w:asciiTheme="minorEastAsia" w:hAnsiTheme="minorEastAsia" w:eastAsiaTheme="minorEastAsia" w:cstheme="minorEastAsia"/>
          <w:bCs/>
          <w:color w:val="000000" w:themeColor="text1"/>
          <w:highlight w:val="none"/>
          <w:shd w:val="clear" w:color="auto" w:fill="auto"/>
          <w14:textFill>
            <w14:solidFill>
              <w14:schemeClr w14:val="tx1"/>
            </w14:solidFill>
          </w14:textFill>
        </w:rPr>
        <w:t>针对本项目乙方需指派全职服务于本项目的技术支撑团队（不少于</w:t>
      </w:r>
      <w:r>
        <w:rPr>
          <w:rFonts w:hint="eastAsia" w:asciiTheme="minorEastAsia" w:hAnsiTheme="minorEastAsia" w:eastAsiaTheme="minorEastAsia" w:cstheme="minorEastAsia"/>
          <w:bCs/>
          <w:color w:val="000000" w:themeColor="text1"/>
          <w:highlight w:val="none"/>
          <w:shd w:val="clear" w:color="auto" w:fill="auto"/>
          <w:lang w:val="en-US" w:eastAsia="zh-CN"/>
          <w14:textFill>
            <w14:solidFill>
              <w14:schemeClr w14:val="tx1"/>
            </w14:solidFill>
          </w14:textFill>
        </w:rPr>
        <w:t>40</w:t>
      </w:r>
      <w:r>
        <w:rPr>
          <w:rFonts w:hint="eastAsia" w:asciiTheme="minorEastAsia" w:hAnsiTheme="minorEastAsia" w:eastAsiaTheme="minorEastAsia" w:cstheme="minorEastAsia"/>
          <w:bCs/>
          <w:color w:val="000000" w:themeColor="text1"/>
          <w:highlight w:val="none"/>
          <w:shd w:val="clear" w:color="auto" w:fill="auto"/>
          <w14:textFill>
            <w14:solidFill>
              <w14:schemeClr w14:val="tx1"/>
            </w14:solidFill>
          </w14:textFill>
        </w:rPr>
        <w:t>人），团队成员应具备如下要求：</w:t>
      </w:r>
    </w:p>
    <w:p w14:paraId="43CEF3EE">
      <w:pPr>
        <w:spacing w:before="0" w:after="0"/>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（1）较强的沟通表达和归纳总结能力，较强的文字表达和文档编写能力。</w:t>
      </w:r>
    </w:p>
    <w:p w14:paraId="22E46AD3">
      <w:pPr>
        <w:spacing w:before="0" w:after="0"/>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（2）对技术支撑服务有丰富经验和深刻的理解。</w:t>
      </w:r>
    </w:p>
    <w:p w14:paraId="0BD961C8">
      <w:pPr>
        <w:numPr>
          <w:ilvl w:val="0"/>
          <w:numId w:val="5"/>
        </w:numPr>
        <w:spacing w:before="124" w:after="124" w:line="240" w:lineRule="auto"/>
        <w:ind w:firstLineChars="0"/>
        <w:rPr>
          <w:rFonts w:hint="eastAsia" w:asciiTheme="minorEastAsia" w:hAnsiTheme="minorEastAsia" w:eastAsiaTheme="minorEastAsia" w:cstheme="minorEastAsia"/>
          <w:b/>
          <w:sz w:val="28"/>
          <w:szCs w:val="28"/>
          <w:highlight w:val="none"/>
          <w:shd w:val="clear" w:color="auto" w:fill="auto"/>
        </w:rPr>
      </w:pPr>
      <w:bookmarkStart w:id="10" w:name="_Hlk149044860"/>
      <w:r>
        <w:rPr>
          <w:rFonts w:hint="eastAsia" w:asciiTheme="minorEastAsia" w:hAnsiTheme="minorEastAsia" w:eastAsiaTheme="minorEastAsia" w:cstheme="minorEastAsia"/>
          <w:b/>
          <w:sz w:val="28"/>
          <w:szCs w:val="28"/>
          <w:highlight w:val="none"/>
          <w:shd w:val="clear" w:color="auto" w:fill="auto"/>
        </w:rPr>
        <w:t>其他综合性说明和要求</w:t>
      </w:r>
    </w:p>
    <w:p w14:paraId="356A18D4">
      <w:pPr>
        <w:spacing w:before="0" w:after="0"/>
        <w:ind w:firstLine="480"/>
        <w:jc w:val="left"/>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pPr>
      <w:r>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t>（1）人员有AI智能产品</w:t>
      </w:r>
      <w:r>
        <w:rPr>
          <w:rFonts w:hint="eastAsia" w:asciiTheme="minorEastAsia" w:hAnsiTheme="minorEastAsia" w:eastAsiaTheme="minorEastAsia" w:cstheme="minorEastAsia"/>
          <w:color w:val="000000" w:themeColor="text1"/>
          <w:highlight w:val="none"/>
          <w:shd w:val="clear" w:color="auto" w:fill="FFFFFF" w:themeFill="background1"/>
          <w:lang w:val="en-US" w:eastAsia="zh-CN"/>
          <w14:textFill>
            <w14:solidFill>
              <w14:schemeClr w14:val="tx1"/>
            </w14:solidFill>
          </w14:textFill>
        </w:rPr>
        <w:t>技术支撑或</w:t>
      </w:r>
      <w:r>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t>运维运营支撑经验优先考虑。</w:t>
      </w:r>
    </w:p>
    <w:p w14:paraId="06E6A5CC">
      <w:pPr>
        <w:spacing w:before="0" w:after="0"/>
        <w:ind w:firstLine="480"/>
        <w:jc w:val="left"/>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pPr>
      <w:r>
        <w:rPr>
          <w:rFonts w:hint="eastAsia" w:asciiTheme="minorEastAsia" w:hAnsiTheme="minorEastAsia" w:eastAsiaTheme="minorEastAsia" w:cstheme="minorEastAsia"/>
          <w:color w:val="000000" w:themeColor="text1"/>
          <w:highlight w:val="none"/>
          <w:shd w:val="clear" w:color="auto" w:fill="FFFFFF" w:themeFill="background1"/>
          <w14:textFill>
            <w14:solidFill>
              <w14:schemeClr w14:val="tx1"/>
            </w14:solidFill>
          </w14:textFill>
        </w:rPr>
        <w:t>（2）人员须具备良好的语言表达能力、协调和沟通能力、学习能力，具备优秀的责任心和团队意识，良好的职业道德和敬业精神。</w:t>
      </w:r>
    </w:p>
    <w:p w14:paraId="5324A53E">
      <w:pPr>
        <w:pStyle w:val="26"/>
        <w:ind w:firstLineChars="0"/>
        <w:rPr>
          <w:rFonts w:hint="eastAsia" w:asciiTheme="minorEastAsia" w:hAnsiTheme="minorEastAsia" w:eastAsiaTheme="minorEastAsia" w:cstheme="minorEastAsia"/>
          <w:szCs w:val="20"/>
          <w:highlight w:val="none"/>
          <w:shd w:val="clear" w:color="auto" w:fill="auto"/>
        </w:rPr>
      </w:pPr>
      <w:r>
        <w:rPr>
          <w:rFonts w:hint="eastAsia" w:asciiTheme="minorEastAsia" w:hAnsiTheme="minorEastAsia" w:eastAsiaTheme="minorEastAsia" w:cstheme="minorEastAsia"/>
          <w:szCs w:val="20"/>
          <w:highlight w:val="none"/>
          <w:shd w:val="clear" w:color="auto" w:fill="auto"/>
        </w:rPr>
        <w:t>（3）乙方还须承诺：拟派至本项目的工程师等人员须在合同生效之日起固定下来，须把人员情况向甲方报备。如需更换须保证替换人员的认证资质和从业经验不低于原有人员，并须提前一个月向甲方提交书面申请。未经甲方同意人员不得随意更换，如出现随意更换的情况，甲方有权采取扣除服务考核分、扣罚合同金额等处罚措施或解除合同。</w:t>
      </w:r>
    </w:p>
    <w:p w14:paraId="747742B7">
      <w:pPr>
        <w:pStyle w:val="26"/>
        <w:ind w:firstLineChars="0"/>
        <w:rPr>
          <w:rFonts w:hint="eastAsia" w:asciiTheme="minorEastAsia" w:hAnsiTheme="minorEastAsia" w:eastAsiaTheme="minorEastAsia" w:cstheme="minorEastAsia"/>
          <w:szCs w:val="20"/>
          <w:highlight w:val="none"/>
          <w:shd w:val="clear" w:color="auto" w:fill="auto"/>
        </w:rPr>
      </w:pPr>
      <w:r>
        <w:rPr>
          <w:rFonts w:hint="eastAsia" w:asciiTheme="minorEastAsia" w:hAnsiTheme="minorEastAsia" w:eastAsiaTheme="minorEastAsia" w:cstheme="minorEastAsia"/>
          <w:szCs w:val="20"/>
          <w:highlight w:val="none"/>
          <w:shd w:val="clear" w:color="auto" w:fill="auto"/>
        </w:rPr>
        <w:t>（4）甲方如对乙方所指派的服务工程师的服务质量不满意（包括技术能力、运营支撑能力等），甲方有权通过书面形式提出撤换该工程师的要求，如连续三次撤换不满意的，乙方有权扣除该指派工程师的剩余工资，乙方应无条件予以执行。</w:t>
      </w:r>
    </w:p>
    <w:p w14:paraId="0062EF14">
      <w:pPr>
        <w:pStyle w:val="26"/>
        <w:ind w:firstLineChars="0"/>
        <w:rPr>
          <w:rFonts w:hint="eastAsia" w:asciiTheme="minorEastAsia" w:hAnsiTheme="minorEastAsia" w:eastAsiaTheme="minorEastAsia" w:cstheme="minorEastAsia"/>
          <w:szCs w:val="20"/>
          <w:highlight w:val="none"/>
          <w:shd w:val="clear" w:color="auto" w:fill="auto"/>
        </w:rPr>
      </w:pPr>
      <w:r>
        <w:rPr>
          <w:rFonts w:hint="eastAsia" w:asciiTheme="minorEastAsia" w:hAnsiTheme="minorEastAsia" w:eastAsiaTheme="minorEastAsia" w:cstheme="minorEastAsia"/>
          <w:szCs w:val="20"/>
          <w:highlight w:val="none"/>
          <w:shd w:val="clear" w:color="auto" w:fill="auto"/>
        </w:rPr>
        <w:t>（5）服务形式：技术服务人员在</w:t>
      </w:r>
      <w:bookmarkStart w:id="11" w:name="_Hlk144212380"/>
      <w:r>
        <w:rPr>
          <w:rFonts w:hint="eastAsia" w:asciiTheme="minorEastAsia" w:hAnsiTheme="minorEastAsia" w:eastAsiaTheme="minorEastAsia" w:cstheme="minorEastAsia"/>
          <w:szCs w:val="20"/>
          <w:highlight w:val="none"/>
          <w:shd w:val="clear" w:color="auto" w:fill="auto"/>
        </w:rPr>
        <w:t>创新研究院</w:t>
      </w:r>
      <w:bookmarkEnd w:id="11"/>
      <w:r>
        <w:rPr>
          <w:rFonts w:hint="eastAsia" w:asciiTheme="minorEastAsia" w:hAnsiTheme="minorEastAsia" w:eastAsiaTheme="minorEastAsia" w:cstheme="minorEastAsia"/>
          <w:szCs w:val="20"/>
          <w:highlight w:val="none"/>
          <w:shd w:val="clear" w:color="auto" w:fill="auto"/>
        </w:rPr>
        <w:t>现场</w:t>
      </w:r>
      <w:r>
        <w:rPr>
          <w:rFonts w:hint="eastAsia" w:asciiTheme="minorEastAsia" w:hAnsiTheme="minorEastAsia" w:eastAsiaTheme="minorEastAsia" w:cstheme="minorEastAsia"/>
          <w:szCs w:val="20"/>
          <w:highlight w:val="none"/>
          <w:shd w:val="clear" w:color="auto" w:fill="auto"/>
          <w:lang w:val="en-US" w:eastAsia="zh-CN"/>
        </w:rPr>
        <w:t>或指定工作场所</w:t>
      </w:r>
      <w:r>
        <w:rPr>
          <w:rFonts w:hint="eastAsia" w:asciiTheme="minorEastAsia" w:hAnsiTheme="minorEastAsia" w:eastAsiaTheme="minorEastAsia" w:cstheme="minorEastAsia"/>
          <w:szCs w:val="20"/>
          <w:highlight w:val="none"/>
          <w:shd w:val="clear" w:color="auto" w:fill="auto"/>
        </w:rPr>
        <w:t>工作，并服从创新研究院对项目技术支撑服务的安排与管理。</w:t>
      </w:r>
      <w:bookmarkEnd w:id="10"/>
    </w:p>
    <w:p w14:paraId="5BC170FA">
      <w:pPr>
        <w:spacing w:before="124" w:after="124" w:line="240" w:lineRule="auto"/>
        <w:ind w:firstLineChars="0"/>
        <w:rPr>
          <w:rFonts w:hint="eastAsia" w:asciiTheme="minorEastAsia" w:hAnsiTheme="minorEastAsia" w:eastAsiaTheme="minorEastAsia" w:cstheme="minorEastAsia"/>
          <w:b/>
          <w:sz w:val="30"/>
          <w:szCs w:val="30"/>
          <w:highlight w:val="none"/>
          <w:shd w:val="clear" w:color="auto" w:fill="auto"/>
        </w:rPr>
      </w:pPr>
      <w:r>
        <w:rPr>
          <w:rFonts w:hint="eastAsia" w:asciiTheme="minorEastAsia" w:hAnsiTheme="minorEastAsia" w:eastAsiaTheme="minorEastAsia" w:cstheme="minorEastAsia"/>
          <w:b/>
          <w:sz w:val="30"/>
          <w:szCs w:val="30"/>
          <w:highlight w:val="none"/>
          <w:shd w:val="clear" w:color="auto" w:fill="auto"/>
        </w:rPr>
        <w:t>3.技术支撑服务的管理流程及规范要求</w:t>
      </w:r>
    </w:p>
    <w:p w14:paraId="09E33244">
      <w:pPr>
        <w:numPr>
          <w:ilvl w:val="0"/>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遵从创新研究院现有的技术支撑工作流程及规范；</w:t>
      </w:r>
    </w:p>
    <w:p w14:paraId="11C89C3D">
      <w:pPr>
        <w:numPr>
          <w:ilvl w:val="1"/>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工作管理要求</w:t>
      </w:r>
    </w:p>
    <w:p w14:paraId="5E8548FD">
      <w:pPr>
        <w:ind w:firstLine="480"/>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乙方必须在甲方指定的办公地点进行技术支撑服务工作，并遵从甲方制定的考勤制度，甲方对乙方参加技术支撑服务人员进行必要的日常管理。</w:t>
      </w:r>
    </w:p>
    <w:p w14:paraId="139938F3">
      <w:pPr>
        <w:numPr>
          <w:ilvl w:val="1"/>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流程规范要求</w:t>
      </w:r>
    </w:p>
    <w:p w14:paraId="433628E3">
      <w:pPr>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乙方技术支撑服务现场实施团队需严格遵从创新院现有的IT系统维护技术规范和管理办法，如：《中国移动浙江公司IT人员岗位变动管理细则》、《中国移动浙江公司IT系统事件管理办法》等。</w:t>
      </w:r>
    </w:p>
    <w:p w14:paraId="38FC7BDB">
      <w:pPr>
        <w:numPr>
          <w:ilvl w:val="1"/>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核算管理要求</w:t>
      </w:r>
    </w:p>
    <w:p w14:paraId="5997D249">
      <w:pPr>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乙方技术支撑服务项目的运营成本核算，必须定期向甲方上报核对，确保项目资金合理用于技术支撑服务人员薪酬、培训、福利等方面。</w:t>
      </w:r>
    </w:p>
    <w:p w14:paraId="41606B89">
      <w:pPr>
        <w:numPr>
          <w:ilvl w:val="0"/>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遵从创新研究院现有的技术支撑工作人员管理要求；</w:t>
      </w:r>
    </w:p>
    <w:p w14:paraId="1A461FEA">
      <w:pPr>
        <w:numPr>
          <w:ilvl w:val="1"/>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人员管理要求</w:t>
      </w:r>
    </w:p>
    <w:p w14:paraId="68A9D90C">
      <w:pPr>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highlight w:val="none"/>
          <w:shd w:val="clear" w:color="auto" w:fill="auto"/>
        </w:rPr>
        <w:t>所有常驻技术人员必须遵从创新院相关人员管理制度，入职、离职、请假、加班等日常管理必须经由有甲方审批报备。在不违反劳动法的前提下，乙方不得干涉。</w:t>
      </w:r>
    </w:p>
    <w:p w14:paraId="4140A5CA">
      <w:pPr>
        <w:numPr>
          <w:ilvl w:val="1"/>
          <w:numId w:val="6"/>
        </w:numPr>
        <w:spacing w:before="124" w:after="124"/>
        <w:ind w:firstLine="562" w:firstLineChars="0"/>
        <w:rPr>
          <w:rFonts w:hint="eastAsia" w:asciiTheme="minorEastAsia" w:hAnsiTheme="minorEastAsia" w:eastAsiaTheme="minorEastAsia" w:cstheme="minorEastAsia"/>
          <w:b/>
          <w:sz w:val="28"/>
          <w:szCs w:val="28"/>
          <w:highlight w:val="none"/>
          <w:shd w:val="clear" w:color="auto" w:fill="auto"/>
        </w:rPr>
      </w:pPr>
      <w:r>
        <w:rPr>
          <w:rFonts w:hint="eastAsia" w:asciiTheme="minorEastAsia" w:hAnsiTheme="minorEastAsia" w:eastAsiaTheme="minorEastAsia" w:cstheme="minorEastAsia"/>
          <w:b/>
          <w:sz w:val="28"/>
          <w:szCs w:val="28"/>
          <w:highlight w:val="none"/>
          <w:shd w:val="clear" w:color="auto" w:fill="auto"/>
        </w:rPr>
        <w:t>人员绩效管理要求</w:t>
      </w:r>
    </w:p>
    <w:p w14:paraId="6E9FDA93">
      <w:pPr>
        <w:ind w:firstLine="480"/>
        <w:jc w:val="left"/>
        <w:rPr>
          <w:rFonts w:hint="eastAsia" w:asciiTheme="minorEastAsia" w:hAnsiTheme="minorEastAsia" w:eastAsiaTheme="minorEastAsia" w:cstheme="minorEastAsia"/>
          <w:highlight w:val="none"/>
          <w:shd w:val="clear" w:color="auto" w:fill="auto"/>
        </w:rPr>
      </w:pPr>
      <w:r>
        <w:rPr>
          <w:rFonts w:hint="eastAsia" w:asciiTheme="minorEastAsia" w:hAnsiTheme="minorEastAsia" w:eastAsiaTheme="minorEastAsia" w:cstheme="minorEastAsia"/>
          <w:color w:val="000000" w:themeColor="text1"/>
          <w:szCs w:val="28"/>
          <w:highlight w:val="none"/>
          <w:shd w:val="clear" w:color="auto" w:fill="auto"/>
          <w14:textFill>
            <w14:solidFill>
              <w14:schemeClr w14:val="tx1"/>
            </w14:solidFill>
          </w14:textFill>
        </w:rPr>
        <w:t>所有常驻技术人员的技术水平、服务质量由甲方评定，乙方需将甲方评定结果纳入技术人员绩效考核指标。乙方需按时发放薪酬及奖励。</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701" w:bottom="1440"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AB315">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9797C">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5DC7A">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9AFA">
    <w:pPr>
      <w:pStyle w:val="1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9586A">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3EA94">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17331"/>
    <w:multiLevelType w:val="multilevel"/>
    <w:tmpl w:val="02B17331"/>
    <w:lvl w:ilvl="0" w:tentative="0">
      <w:start w:val="3"/>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default" w:ascii="Times New Roman" w:hAnsi="Times New Roman" w:eastAsia="宋体" w:cs="Times New Roman"/>
        <w:b/>
        <w:sz w:val="32"/>
        <w:szCs w:val="32"/>
      </w:rPr>
    </w:lvl>
    <w:lvl w:ilvl="2" w:tentative="0">
      <w:start w:val="1"/>
      <w:numFmt w:val="decimal"/>
      <w:pStyle w:val="4"/>
      <w:lvlText w:val="%1.%2.%3"/>
      <w:lvlJc w:val="left"/>
      <w:pPr>
        <w:tabs>
          <w:tab w:val="left" w:pos="862"/>
        </w:tabs>
        <w:ind w:left="862" w:hanging="720"/>
      </w:pPr>
      <w:rPr>
        <w:rFonts w:hint="eastAsia"/>
        <w:sz w:val="32"/>
        <w:szCs w:val="32"/>
      </w:rPr>
    </w:lvl>
    <w:lvl w:ilvl="3" w:tentative="0">
      <w:start w:val="1"/>
      <w:numFmt w:val="decimal"/>
      <w:pStyle w:val="5"/>
      <w:lvlText w:val="%1.%2.%3.%4"/>
      <w:lvlJc w:val="left"/>
      <w:pPr>
        <w:tabs>
          <w:tab w:val="left" w:pos="1044"/>
        </w:tabs>
        <w:ind w:left="1044" w:hanging="864"/>
      </w:pPr>
      <w:rPr>
        <w:rFonts w:hint="eastAsia"/>
      </w:rPr>
    </w:lvl>
    <w:lvl w:ilvl="4" w:tentative="0">
      <w:start w:val="1"/>
      <w:numFmt w:val="decimal"/>
      <w:pStyle w:val="6"/>
      <w:lvlText w:val="%1.%2.%3.%4.%5"/>
      <w:lvlJc w:val="left"/>
      <w:pPr>
        <w:tabs>
          <w:tab w:val="left" w:pos="2088"/>
        </w:tabs>
        <w:ind w:left="208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18047C17"/>
    <w:multiLevelType w:val="multilevel"/>
    <w:tmpl w:val="18047C17"/>
    <w:lvl w:ilvl="0" w:tentative="0">
      <w:start w:val="1"/>
      <w:numFmt w:val="decimal"/>
      <w:lvlText w:val="%1."/>
      <w:lvlJc w:val="left"/>
      <w:pPr>
        <w:ind w:left="704" w:hanging="420"/>
      </w:pPr>
    </w:lvl>
    <w:lvl w:ilvl="1" w:tentative="0">
      <w:start w:val="1"/>
      <w:numFmt w:val="decimal"/>
      <w:lvlText w:val="%2."/>
      <w:lvlJc w:val="left"/>
      <w:pPr>
        <w:ind w:left="1064" w:hanging="360"/>
      </w:pPr>
      <w:rPr>
        <w:rFonts w:hint="default"/>
      </w:r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3EA32E30"/>
    <w:multiLevelType w:val="multilevel"/>
    <w:tmpl w:val="3EA32E30"/>
    <w:lvl w:ilvl="0" w:tentative="0">
      <w:start w:val="1"/>
      <w:numFmt w:val="decimal"/>
      <w:lvlText w:val="%1)"/>
      <w:lvlJc w:val="left"/>
      <w:pPr>
        <w:ind w:left="840" w:hanging="420"/>
      </w:pPr>
      <w:rPr>
        <w:rFonts w:hint="default"/>
      </w:rPr>
    </w:lvl>
    <w:lvl w:ilvl="1" w:tentative="0">
      <w:start w:val="1"/>
      <w:numFmt w:val="decimal"/>
      <w:lvlText w:val="%2)"/>
      <w:lvlJc w:val="left"/>
      <w:pPr>
        <w:ind w:left="1260" w:hanging="420"/>
      </w:pPr>
      <w:rPr>
        <w:rFonts w:hint="default"/>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0D136ED"/>
    <w:multiLevelType w:val="multilevel"/>
    <w:tmpl w:val="50D136ED"/>
    <w:lvl w:ilvl="0" w:tentative="0">
      <w:start w:val="1"/>
      <w:numFmt w:val="bullet"/>
      <w:lvlText w:val=""/>
      <w:lvlJc w:val="left"/>
      <w:pPr>
        <w:ind w:left="-82" w:hanging="420"/>
      </w:pPr>
      <w:rPr>
        <w:rFonts w:hint="default" w:ascii="Wingdings" w:hAnsi="Wingdings"/>
      </w:rPr>
    </w:lvl>
    <w:lvl w:ilvl="1" w:tentative="0">
      <w:start w:val="1"/>
      <w:numFmt w:val="decimal"/>
      <w:lvlText w:val="%2)"/>
      <w:lvlJc w:val="left"/>
      <w:pPr>
        <w:ind w:left="338" w:hanging="420"/>
      </w:pPr>
      <w:rPr>
        <w:rFonts w:hint="default"/>
      </w:rPr>
    </w:lvl>
    <w:lvl w:ilvl="2" w:tentative="0">
      <w:start w:val="1"/>
      <w:numFmt w:val="bullet"/>
      <w:lvlText w:val=""/>
      <w:lvlJc w:val="left"/>
      <w:pPr>
        <w:ind w:left="758" w:hanging="420"/>
      </w:pPr>
      <w:rPr>
        <w:rFonts w:hint="default" w:ascii="Wingdings" w:hAnsi="Wingdings"/>
      </w:rPr>
    </w:lvl>
    <w:lvl w:ilvl="3" w:tentative="0">
      <w:start w:val="1"/>
      <w:numFmt w:val="bullet"/>
      <w:lvlText w:val=""/>
      <w:lvlJc w:val="left"/>
      <w:pPr>
        <w:ind w:left="1178" w:hanging="420"/>
      </w:pPr>
      <w:rPr>
        <w:rFonts w:hint="default" w:ascii="Wingdings" w:hAnsi="Wingdings"/>
      </w:rPr>
    </w:lvl>
    <w:lvl w:ilvl="4" w:tentative="0">
      <w:start w:val="1"/>
      <w:numFmt w:val="bullet"/>
      <w:lvlText w:val=""/>
      <w:lvlJc w:val="left"/>
      <w:pPr>
        <w:ind w:left="1598" w:hanging="420"/>
      </w:pPr>
      <w:rPr>
        <w:rFonts w:hint="default" w:ascii="Wingdings" w:hAnsi="Wingdings"/>
      </w:rPr>
    </w:lvl>
    <w:lvl w:ilvl="5" w:tentative="0">
      <w:start w:val="1"/>
      <w:numFmt w:val="bullet"/>
      <w:lvlText w:val=""/>
      <w:lvlJc w:val="left"/>
      <w:pPr>
        <w:ind w:left="2018" w:hanging="420"/>
      </w:pPr>
      <w:rPr>
        <w:rFonts w:hint="default" w:ascii="Wingdings" w:hAnsi="Wingdings"/>
      </w:rPr>
    </w:lvl>
    <w:lvl w:ilvl="6" w:tentative="0">
      <w:start w:val="1"/>
      <w:numFmt w:val="bullet"/>
      <w:lvlText w:val=""/>
      <w:lvlJc w:val="left"/>
      <w:pPr>
        <w:ind w:left="2438" w:hanging="420"/>
      </w:pPr>
      <w:rPr>
        <w:rFonts w:hint="default" w:ascii="Wingdings" w:hAnsi="Wingdings"/>
      </w:rPr>
    </w:lvl>
    <w:lvl w:ilvl="7" w:tentative="0">
      <w:start w:val="1"/>
      <w:numFmt w:val="bullet"/>
      <w:lvlText w:val=""/>
      <w:lvlJc w:val="left"/>
      <w:pPr>
        <w:ind w:left="2858" w:hanging="420"/>
      </w:pPr>
      <w:rPr>
        <w:rFonts w:hint="default" w:ascii="Wingdings" w:hAnsi="Wingdings"/>
      </w:rPr>
    </w:lvl>
    <w:lvl w:ilvl="8" w:tentative="0">
      <w:start w:val="1"/>
      <w:numFmt w:val="bullet"/>
      <w:lvlText w:val=""/>
      <w:lvlJc w:val="left"/>
      <w:pPr>
        <w:ind w:left="3278" w:hanging="420"/>
      </w:pPr>
      <w:rPr>
        <w:rFonts w:hint="default" w:ascii="Wingdings" w:hAnsi="Wingdings"/>
      </w:rPr>
    </w:lvl>
  </w:abstractNum>
  <w:abstractNum w:abstractNumId="4">
    <w:nsid w:val="562E6C9B"/>
    <w:multiLevelType w:val="multilevel"/>
    <w:tmpl w:val="562E6C9B"/>
    <w:lvl w:ilvl="0" w:tentative="0">
      <w:start w:val="1"/>
      <w:numFmt w:val="chineseCountingThousand"/>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46754CA"/>
    <w:multiLevelType w:val="multilevel"/>
    <w:tmpl w:val="746754CA"/>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5OGU4ZDA0YWNjOTBmMjZjYTg2NDE5YjU1ZTJmOTEifQ=="/>
  </w:docVars>
  <w:rsids>
    <w:rsidRoot w:val="002E63A2"/>
    <w:rsid w:val="000003A7"/>
    <w:rsid w:val="000004B0"/>
    <w:rsid w:val="00003A51"/>
    <w:rsid w:val="00004FA2"/>
    <w:rsid w:val="000101AF"/>
    <w:rsid w:val="000116EC"/>
    <w:rsid w:val="0001332B"/>
    <w:rsid w:val="00013CB6"/>
    <w:rsid w:val="000257C0"/>
    <w:rsid w:val="0003016D"/>
    <w:rsid w:val="00030178"/>
    <w:rsid w:val="00032779"/>
    <w:rsid w:val="00034972"/>
    <w:rsid w:val="00036DB1"/>
    <w:rsid w:val="000372B3"/>
    <w:rsid w:val="0003777B"/>
    <w:rsid w:val="00040E37"/>
    <w:rsid w:val="00041624"/>
    <w:rsid w:val="00045EBD"/>
    <w:rsid w:val="000471A9"/>
    <w:rsid w:val="000500BC"/>
    <w:rsid w:val="00053032"/>
    <w:rsid w:val="00056D73"/>
    <w:rsid w:val="000628B0"/>
    <w:rsid w:val="000652F7"/>
    <w:rsid w:val="00065626"/>
    <w:rsid w:val="00070DD7"/>
    <w:rsid w:val="00074198"/>
    <w:rsid w:val="000741E0"/>
    <w:rsid w:val="00076339"/>
    <w:rsid w:val="000769D9"/>
    <w:rsid w:val="00080058"/>
    <w:rsid w:val="000822D8"/>
    <w:rsid w:val="000839B5"/>
    <w:rsid w:val="0009173F"/>
    <w:rsid w:val="00093AA9"/>
    <w:rsid w:val="0009640B"/>
    <w:rsid w:val="00096D7C"/>
    <w:rsid w:val="00097CD1"/>
    <w:rsid w:val="000A0CCD"/>
    <w:rsid w:val="000A0E25"/>
    <w:rsid w:val="000A1F41"/>
    <w:rsid w:val="000A25AB"/>
    <w:rsid w:val="000A3FF2"/>
    <w:rsid w:val="000A44D0"/>
    <w:rsid w:val="000A48F1"/>
    <w:rsid w:val="000A74B9"/>
    <w:rsid w:val="000B2992"/>
    <w:rsid w:val="000B3A9A"/>
    <w:rsid w:val="000B50E3"/>
    <w:rsid w:val="000B54DF"/>
    <w:rsid w:val="000B6915"/>
    <w:rsid w:val="000C1610"/>
    <w:rsid w:val="000C2DBA"/>
    <w:rsid w:val="000D362D"/>
    <w:rsid w:val="000D3D19"/>
    <w:rsid w:val="000D4045"/>
    <w:rsid w:val="000D4529"/>
    <w:rsid w:val="000D4641"/>
    <w:rsid w:val="000D5164"/>
    <w:rsid w:val="000E0D7A"/>
    <w:rsid w:val="000E142B"/>
    <w:rsid w:val="000E7D90"/>
    <w:rsid w:val="00100A47"/>
    <w:rsid w:val="00101B3C"/>
    <w:rsid w:val="001024C7"/>
    <w:rsid w:val="001057F9"/>
    <w:rsid w:val="001104CE"/>
    <w:rsid w:val="00110F7B"/>
    <w:rsid w:val="00112520"/>
    <w:rsid w:val="00112928"/>
    <w:rsid w:val="00113FF4"/>
    <w:rsid w:val="00114A63"/>
    <w:rsid w:val="00117997"/>
    <w:rsid w:val="00121AFC"/>
    <w:rsid w:val="001238C6"/>
    <w:rsid w:val="00124BD5"/>
    <w:rsid w:val="00125A42"/>
    <w:rsid w:val="001311B7"/>
    <w:rsid w:val="00133A7D"/>
    <w:rsid w:val="00133B45"/>
    <w:rsid w:val="001509AC"/>
    <w:rsid w:val="00152E17"/>
    <w:rsid w:val="001610E3"/>
    <w:rsid w:val="00161F67"/>
    <w:rsid w:val="0016561D"/>
    <w:rsid w:val="00171DD1"/>
    <w:rsid w:val="00172813"/>
    <w:rsid w:val="001738C1"/>
    <w:rsid w:val="00174900"/>
    <w:rsid w:val="00176018"/>
    <w:rsid w:val="0017737A"/>
    <w:rsid w:val="00185AA0"/>
    <w:rsid w:val="00186485"/>
    <w:rsid w:val="00190C9F"/>
    <w:rsid w:val="001915DA"/>
    <w:rsid w:val="00192BCB"/>
    <w:rsid w:val="00193EB1"/>
    <w:rsid w:val="00196021"/>
    <w:rsid w:val="001A0A7E"/>
    <w:rsid w:val="001A15CF"/>
    <w:rsid w:val="001A36CE"/>
    <w:rsid w:val="001A3C95"/>
    <w:rsid w:val="001A6947"/>
    <w:rsid w:val="001B0B25"/>
    <w:rsid w:val="001B4567"/>
    <w:rsid w:val="001B492F"/>
    <w:rsid w:val="001B5294"/>
    <w:rsid w:val="001C3BA3"/>
    <w:rsid w:val="001C503B"/>
    <w:rsid w:val="001C62D3"/>
    <w:rsid w:val="001C6C30"/>
    <w:rsid w:val="001D0F38"/>
    <w:rsid w:val="001D35B2"/>
    <w:rsid w:val="001D4D30"/>
    <w:rsid w:val="001D658B"/>
    <w:rsid w:val="001E0BD0"/>
    <w:rsid w:val="001E1B25"/>
    <w:rsid w:val="001E2A1E"/>
    <w:rsid w:val="001E316B"/>
    <w:rsid w:val="001E4AF9"/>
    <w:rsid w:val="001E7DB0"/>
    <w:rsid w:val="001F17D7"/>
    <w:rsid w:val="001F3224"/>
    <w:rsid w:val="001F519C"/>
    <w:rsid w:val="001F7B24"/>
    <w:rsid w:val="00200644"/>
    <w:rsid w:val="00200C95"/>
    <w:rsid w:val="00200EB9"/>
    <w:rsid w:val="0020119A"/>
    <w:rsid w:val="00201613"/>
    <w:rsid w:val="002048B3"/>
    <w:rsid w:val="002066D2"/>
    <w:rsid w:val="00216616"/>
    <w:rsid w:val="00223853"/>
    <w:rsid w:val="00223BCD"/>
    <w:rsid w:val="00224C51"/>
    <w:rsid w:val="00230104"/>
    <w:rsid w:val="00231110"/>
    <w:rsid w:val="00232998"/>
    <w:rsid w:val="00233898"/>
    <w:rsid w:val="0023446E"/>
    <w:rsid w:val="00234B94"/>
    <w:rsid w:val="00236206"/>
    <w:rsid w:val="00237354"/>
    <w:rsid w:val="00242FCE"/>
    <w:rsid w:val="00243A78"/>
    <w:rsid w:val="00245F2A"/>
    <w:rsid w:val="00247F38"/>
    <w:rsid w:val="00253586"/>
    <w:rsid w:val="00255174"/>
    <w:rsid w:val="00261865"/>
    <w:rsid w:val="00265726"/>
    <w:rsid w:val="00271822"/>
    <w:rsid w:val="002746E1"/>
    <w:rsid w:val="00280A73"/>
    <w:rsid w:val="00281502"/>
    <w:rsid w:val="002826C7"/>
    <w:rsid w:val="00284EF1"/>
    <w:rsid w:val="002870EF"/>
    <w:rsid w:val="002924E0"/>
    <w:rsid w:val="00292D23"/>
    <w:rsid w:val="00293CEA"/>
    <w:rsid w:val="00294FD3"/>
    <w:rsid w:val="00297C97"/>
    <w:rsid w:val="002A0022"/>
    <w:rsid w:val="002A21F4"/>
    <w:rsid w:val="002A2C9A"/>
    <w:rsid w:val="002B225D"/>
    <w:rsid w:val="002B2E0B"/>
    <w:rsid w:val="002B3018"/>
    <w:rsid w:val="002B4501"/>
    <w:rsid w:val="002B5311"/>
    <w:rsid w:val="002B5CAB"/>
    <w:rsid w:val="002B6B7B"/>
    <w:rsid w:val="002B6FBD"/>
    <w:rsid w:val="002B73E7"/>
    <w:rsid w:val="002B75FB"/>
    <w:rsid w:val="002C2195"/>
    <w:rsid w:val="002C2839"/>
    <w:rsid w:val="002C2FE0"/>
    <w:rsid w:val="002C427D"/>
    <w:rsid w:val="002D3729"/>
    <w:rsid w:val="002D4706"/>
    <w:rsid w:val="002E029E"/>
    <w:rsid w:val="002E0DD0"/>
    <w:rsid w:val="002E149E"/>
    <w:rsid w:val="002E63A2"/>
    <w:rsid w:val="002E6598"/>
    <w:rsid w:val="002F5D99"/>
    <w:rsid w:val="002F6E9A"/>
    <w:rsid w:val="003000CE"/>
    <w:rsid w:val="00301961"/>
    <w:rsid w:val="003024AF"/>
    <w:rsid w:val="00302FC9"/>
    <w:rsid w:val="003034AD"/>
    <w:rsid w:val="0030387F"/>
    <w:rsid w:val="003058A6"/>
    <w:rsid w:val="003126C7"/>
    <w:rsid w:val="003132AD"/>
    <w:rsid w:val="00314520"/>
    <w:rsid w:val="00320072"/>
    <w:rsid w:val="00324EB7"/>
    <w:rsid w:val="003308B3"/>
    <w:rsid w:val="003349CD"/>
    <w:rsid w:val="00334E39"/>
    <w:rsid w:val="00335BD0"/>
    <w:rsid w:val="00340AF1"/>
    <w:rsid w:val="0034410A"/>
    <w:rsid w:val="0034430B"/>
    <w:rsid w:val="0034502F"/>
    <w:rsid w:val="0034526D"/>
    <w:rsid w:val="003519A8"/>
    <w:rsid w:val="00354551"/>
    <w:rsid w:val="003576A6"/>
    <w:rsid w:val="00360FF0"/>
    <w:rsid w:val="00363573"/>
    <w:rsid w:val="00363A20"/>
    <w:rsid w:val="00363B0B"/>
    <w:rsid w:val="003640D6"/>
    <w:rsid w:val="00364553"/>
    <w:rsid w:val="003705E4"/>
    <w:rsid w:val="003720F5"/>
    <w:rsid w:val="00374C87"/>
    <w:rsid w:val="00374F7D"/>
    <w:rsid w:val="00375881"/>
    <w:rsid w:val="003760BA"/>
    <w:rsid w:val="003801EB"/>
    <w:rsid w:val="00381AD6"/>
    <w:rsid w:val="003844C3"/>
    <w:rsid w:val="003873AE"/>
    <w:rsid w:val="00394355"/>
    <w:rsid w:val="00394823"/>
    <w:rsid w:val="003A150D"/>
    <w:rsid w:val="003A688A"/>
    <w:rsid w:val="003B0A71"/>
    <w:rsid w:val="003B32A6"/>
    <w:rsid w:val="003B6212"/>
    <w:rsid w:val="003C0049"/>
    <w:rsid w:val="003C2856"/>
    <w:rsid w:val="003C285D"/>
    <w:rsid w:val="003C56EC"/>
    <w:rsid w:val="003C71D9"/>
    <w:rsid w:val="003D0FA7"/>
    <w:rsid w:val="003D1D9D"/>
    <w:rsid w:val="003D2A39"/>
    <w:rsid w:val="003E5550"/>
    <w:rsid w:val="003E6766"/>
    <w:rsid w:val="003E6939"/>
    <w:rsid w:val="003F4F79"/>
    <w:rsid w:val="003F7574"/>
    <w:rsid w:val="004001AC"/>
    <w:rsid w:val="004077F4"/>
    <w:rsid w:val="00411950"/>
    <w:rsid w:val="004120BA"/>
    <w:rsid w:val="00412AB7"/>
    <w:rsid w:val="00416A18"/>
    <w:rsid w:val="0042185D"/>
    <w:rsid w:val="004236A2"/>
    <w:rsid w:val="0042426C"/>
    <w:rsid w:val="0042436C"/>
    <w:rsid w:val="00431F27"/>
    <w:rsid w:val="00432BD1"/>
    <w:rsid w:val="004344A3"/>
    <w:rsid w:val="00434B6A"/>
    <w:rsid w:val="00435B13"/>
    <w:rsid w:val="00446E1A"/>
    <w:rsid w:val="004474D4"/>
    <w:rsid w:val="00451195"/>
    <w:rsid w:val="0045403E"/>
    <w:rsid w:val="00455DD2"/>
    <w:rsid w:val="0045673F"/>
    <w:rsid w:val="00460164"/>
    <w:rsid w:val="00460354"/>
    <w:rsid w:val="004623D3"/>
    <w:rsid w:val="004628F8"/>
    <w:rsid w:val="004631CC"/>
    <w:rsid w:val="00463BF0"/>
    <w:rsid w:val="00463DEC"/>
    <w:rsid w:val="00464D32"/>
    <w:rsid w:val="004669B3"/>
    <w:rsid w:val="004676E1"/>
    <w:rsid w:val="00467A3D"/>
    <w:rsid w:val="00470264"/>
    <w:rsid w:val="0047026D"/>
    <w:rsid w:val="00470452"/>
    <w:rsid w:val="00470642"/>
    <w:rsid w:val="00480581"/>
    <w:rsid w:val="00481CCA"/>
    <w:rsid w:val="00482B9E"/>
    <w:rsid w:val="00483756"/>
    <w:rsid w:val="0048400E"/>
    <w:rsid w:val="004840A6"/>
    <w:rsid w:val="004865CE"/>
    <w:rsid w:val="004910CB"/>
    <w:rsid w:val="00493779"/>
    <w:rsid w:val="00493D04"/>
    <w:rsid w:val="00495065"/>
    <w:rsid w:val="00497115"/>
    <w:rsid w:val="004A2C96"/>
    <w:rsid w:val="004A487A"/>
    <w:rsid w:val="004A575F"/>
    <w:rsid w:val="004A576C"/>
    <w:rsid w:val="004B00C8"/>
    <w:rsid w:val="004B2047"/>
    <w:rsid w:val="004B6A74"/>
    <w:rsid w:val="004C0386"/>
    <w:rsid w:val="004C394D"/>
    <w:rsid w:val="004D0E95"/>
    <w:rsid w:val="004D1368"/>
    <w:rsid w:val="004D2D15"/>
    <w:rsid w:val="004D5BF1"/>
    <w:rsid w:val="004D5FFF"/>
    <w:rsid w:val="004E0F31"/>
    <w:rsid w:val="004E3A35"/>
    <w:rsid w:val="004E5AAF"/>
    <w:rsid w:val="004E5C1B"/>
    <w:rsid w:val="004E72A5"/>
    <w:rsid w:val="004F0815"/>
    <w:rsid w:val="004F728B"/>
    <w:rsid w:val="004F754B"/>
    <w:rsid w:val="00506242"/>
    <w:rsid w:val="00510694"/>
    <w:rsid w:val="00511C23"/>
    <w:rsid w:val="00515785"/>
    <w:rsid w:val="0052269D"/>
    <w:rsid w:val="00525B3A"/>
    <w:rsid w:val="005264E8"/>
    <w:rsid w:val="00531008"/>
    <w:rsid w:val="00532D93"/>
    <w:rsid w:val="005353B4"/>
    <w:rsid w:val="0054517B"/>
    <w:rsid w:val="00551D42"/>
    <w:rsid w:val="00556D4B"/>
    <w:rsid w:val="005573F0"/>
    <w:rsid w:val="00557D7E"/>
    <w:rsid w:val="005623B0"/>
    <w:rsid w:val="00563177"/>
    <w:rsid w:val="00564944"/>
    <w:rsid w:val="005708C3"/>
    <w:rsid w:val="00571AA4"/>
    <w:rsid w:val="00571B41"/>
    <w:rsid w:val="00577D50"/>
    <w:rsid w:val="00581149"/>
    <w:rsid w:val="00581181"/>
    <w:rsid w:val="005831DA"/>
    <w:rsid w:val="00583E4D"/>
    <w:rsid w:val="0058565D"/>
    <w:rsid w:val="005879DD"/>
    <w:rsid w:val="005922C5"/>
    <w:rsid w:val="005937B3"/>
    <w:rsid w:val="00595584"/>
    <w:rsid w:val="00595C23"/>
    <w:rsid w:val="00596C44"/>
    <w:rsid w:val="005A0F59"/>
    <w:rsid w:val="005A1EC6"/>
    <w:rsid w:val="005A5F5C"/>
    <w:rsid w:val="005A637E"/>
    <w:rsid w:val="005A760D"/>
    <w:rsid w:val="005B0786"/>
    <w:rsid w:val="005B3E0E"/>
    <w:rsid w:val="005B4079"/>
    <w:rsid w:val="005B43E7"/>
    <w:rsid w:val="005B516F"/>
    <w:rsid w:val="005C35FD"/>
    <w:rsid w:val="005C407B"/>
    <w:rsid w:val="005C6932"/>
    <w:rsid w:val="005D0374"/>
    <w:rsid w:val="005D0614"/>
    <w:rsid w:val="005D4E1E"/>
    <w:rsid w:val="005D55C6"/>
    <w:rsid w:val="005D62FF"/>
    <w:rsid w:val="005D66DC"/>
    <w:rsid w:val="005D7C84"/>
    <w:rsid w:val="005E008B"/>
    <w:rsid w:val="005E7FDD"/>
    <w:rsid w:val="005F340C"/>
    <w:rsid w:val="006003E0"/>
    <w:rsid w:val="00603F42"/>
    <w:rsid w:val="00604FE8"/>
    <w:rsid w:val="00612708"/>
    <w:rsid w:val="00616F6A"/>
    <w:rsid w:val="00623AC8"/>
    <w:rsid w:val="00632C3D"/>
    <w:rsid w:val="00632CC3"/>
    <w:rsid w:val="006340CB"/>
    <w:rsid w:val="0064051C"/>
    <w:rsid w:val="006442EC"/>
    <w:rsid w:val="00656486"/>
    <w:rsid w:val="0066048C"/>
    <w:rsid w:val="0066202C"/>
    <w:rsid w:val="00662D00"/>
    <w:rsid w:val="00662E94"/>
    <w:rsid w:val="0066301B"/>
    <w:rsid w:val="0066378E"/>
    <w:rsid w:val="0066454C"/>
    <w:rsid w:val="00666995"/>
    <w:rsid w:val="00667A2B"/>
    <w:rsid w:val="00667DAE"/>
    <w:rsid w:val="00670240"/>
    <w:rsid w:val="0067516B"/>
    <w:rsid w:val="00676BDC"/>
    <w:rsid w:val="006848B5"/>
    <w:rsid w:val="00684DDA"/>
    <w:rsid w:val="00687AA5"/>
    <w:rsid w:val="00697062"/>
    <w:rsid w:val="006A548F"/>
    <w:rsid w:val="006B0898"/>
    <w:rsid w:val="006B281B"/>
    <w:rsid w:val="006B3F91"/>
    <w:rsid w:val="006B5CAD"/>
    <w:rsid w:val="006B7825"/>
    <w:rsid w:val="006C3893"/>
    <w:rsid w:val="006C471F"/>
    <w:rsid w:val="006C4BD3"/>
    <w:rsid w:val="006C50B2"/>
    <w:rsid w:val="006D19D9"/>
    <w:rsid w:val="006D3478"/>
    <w:rsid w:val="006D3768"/>
    <w:rsid w:val="006D4016"/>
    <w:rsid w:val="006D6EB3"/>
    <w:rsid w:val="006E07FB"/>
    <w:rsid w:val="006E27CD"/>
    <w:rsid w:val="006E33AF"/>
    <w:rsid w:val="006E4758"/>
    <w:rsid w:val="006F28B9"/>
    <w:rsid w:val="006F382E"/>
    <w:rsid w:val="006F3F67"/>
    <w:rsid w:val="006F603B"/>
    <w:rsid w:val="006F644C"/>
    <w:rsid w:val="007132E8"/>
    <w:rsid w:val="00713AE8"/>
    <w:rsid w:val="007219A8"/>
    <w:rsid w:val="00723E60"/>
    <w:rsid w:val="00732B2A"/>
    <w:rsid w:val="00733014"/>
    <w:rsid w:val="00733E10"/>
    <w:rsid w:val="00744A76"/>
    <w:rsid w:val="00744FB7"/>
    <w:rsid w:val="00745CCB"/>
    <w:rsid w:val="007511C0"/>
    <w:rsid w:val="007511EF"/>
    <w:rsid w:val="00752326"/>
    <w:rsid w:val="00752888"/>
    <w:rsid w:val="00754C63"/>
    <w:rsid w:val="007623CE"/>
    <w:rsid w:val="00763710"/>
    <w:rsid w:val="00765CD1"/>
    <w:rsid w:val="00771C63"/>
    <w:rsid w:val="00772F91"/>
    <w:rsid w:val="00775AD4"/>
    <w:rsid w:val="0078216E"/>
    <w:rsid w:val="00784938"/>
    <w:rsid w:val="00786A55"/>
    <w:rsid w:val="0079435E"/>
    <w:rsid w:val="00794BD9"/>
    <w:rsid w:val="00796344"/>
    <w:rsid w:val="00796518"/>
    <w:rsid w:val="007B114D"/>
    <w:rsid w:val="007B28C0"/>
    <w:rsid w:val="007C001F"/>
    <w:rsid w:val="007C28FB"/>
    <w:rsid w:val="007C5243"/>
    <w:rsid w:val="007C59C4"/>
    <w:rsid w:val="007D05DE"/>
    <w:rsid w:val="007D0D65"/>
    <w:rsid w:val="007D1284"/>
    <w:rsid w:val="007D14F1"/>
    <w:rsid w:val="007D328C"/>
    <w:rsid w:val="007D375D"/>
    <w:rsid w:val="007D3C49"/>
    <w:rsid w:val="007D45EC"/>
    <w:rsid w:val="007D6CAE"/>
    <w:rsid w:val="007E0024"/>
    <w:rsid w:val="007E29EC"/>
    <w:rsid w:val="007E47F9"/>
    <w:rsid w:val="007E5B62"/>
    <w:rsid w:val="007E6A00"/>
    <w:rsid w:val="007E6A79"/>
    <w:rsid w:val="007E6EB2"/>
    <w:rsid w:val="007F03A1"/>
    <w:rsid w:val="007F56E6"/>
    <w:rsid w:val="00800FB6"/>
    <w:rsid w:val="00800FDB"/>
    <w:rsid w:val="00803FDD"/>
    <w:rsid w:val="0080616C"/>
    <w:rsid w:val="0080745A"/>
    <w:rsid w:val="00807C61"/>
    <w:rsid w:val="00812C24"/>
    <w:rsid w:val="0081325B"/>
    <w:rsid w:val="00813521"/>
    <w:rsid w:val="00813C95"/>
    <w:rsid w:val="00814289"/>
    <w:rsid w:val="00814B1E"/>
    <w:rsid w:val="00814B6D"/>
    <w:rsid w:val="00815BEE"/>
    <w:rsid w:val="008171EA"/>
    <w:rsid w:val="00820D6B"/>
    <w:rsid w:val="00825B77"/>
    <w:rsid w:val="00827947"/>
    <w:rsid w:val="00830390"/>
    <w:rsid w:val="008320A7"/>
    <w:rsid w:val="00835363"/>
    <w:rsid w:val="00835741"/>
    <w:rsid w:val="00836FBD"/>
    <w:rsid w:val="008403DC"/>
    <w:rsid w:val="008417A8"/>
    <w:rsid w:val="00845D55"/>
    <w:rsid w:val="00850B8D"/>
    <w:rsid w:val="00852702"/>
    <w:rsid w:val="008527A8"/>
    <w:rsid w:val="00854BCD"/>
    <w:rsid w:val="00856CA0"/>
    <w:rsid w:val="00862BD4"/>
    <w:rsid w:val="0086788C"/>
    <w:rsid w:val="008702EF"/>
    <w:rsid w:val="0087149B"/>
    <w:rsid w:val="0087271A"/>
    <w:rsid w:val="008729AB"/>
    <w:rsid w:val="00873C22"/>
    <w:rsid w:val="008747E0"/>
    <w:rsid w:val="00875A01"/>
    <w:rsid w:val="00875F17"/>
    <w:rsid w:val="00882970"/>
    <w:rsid w:val="0088484D"/>
    <w:rsid w:val="00893518"/>
    <w:rsid w:val="008A004D"/>
    <w:rsid w:val="008A1380"/>
    <w:rsid w:val="008A56C2"/>
    <w:rsid w:val="008B273D"/>
    <w:rsid w:val="008B2793"/>
    <w:rsid w:val="008B6F38"/>
    <w:rsid w:val="008C75AB"/>
    <w:rsid w:val="008D01EC"/>
    <w:rsid w:val="008D0420"/>
    <w:rsid w:val="008D25BD"/>
    <w:rsid w:val="008D43B9"/>
    <w:rsid w:val="008D6012"/>
    <w:rsid w:val="008E253F"/>
    <w:rsid w:val="008E3491"/>
    <w:rsid w:val="008E5A5A"/>
    <w:rsid w:val="008E5AF7"/>
    <w:rsid w:val="009002E0"/>
    <w:rsid w:val="00900AD9"/>
    <w:rsid w:val="00901A57"/>
    <w:rsid w:val="00903584"/>
    <w:rsid w:val="00904D6C"/>
    <w:rsid w:val="0090526E"/>
    <w:rsid w:val="00906F6B"/>
    <w:rsid w:val="00911757"/>
    <w:rsid w:val="00913F46"/>
    <w:rsid w:val="00915B26"/>
    <w:rsid w:val="00921007"/>
    <w:rsid w:val="0092142F"/>
    <w:rsid w:val="009216AA"/>
    <w:rsid w:val="00924F07"/>
    <w:rsid w:val="00926A60"/>
    <w:rsid w:val="00927A5B"/>
    <w:rsid w:val="00935D4F"/>
    <w:rsid w:val="00936376"/>
    <w:rsid w:val="00940C7F"/>
    <w:rsid w:val="00941FEB"/>
    <w:rsid w:val="0094281D"/>
    <w:rsid w:val="00944C0F"/>
    <w:rsid w:val="009479A6"/>
    <w:rsid w:val="00951272"/>
    <w:rsid w:val="009532A6"/>
    <w:rsid w:val="009533F1"/>
    <w:rsid w:val="00954477"/>
    <w:rsid w:val="009560A7"/>
    <w:rsid w:val="00956AB2"/>
    <w:rsid w:val="00960AED"/>
    <w:rsid w:val="0096216E"/>
    <w:rsid w:val="00965C53"/>
    <w:rsid w:val="0097627D"/>
    <w:rsid w:val="00977F36"/>
    <w:rsid w:val="009819CA"/>
    <w:rsid w:val="00985BD6"/>
    <w:rsid w:val="00986DF1"/>
    <w:rsid w:val="00991268"/>
    <w:rsid w:val="00991410"/>
    <w:rsid w:val="009919D7"/>
    <w:rsid w:val="009946B1"/>
    <w:rsid w:val="009A61B6"/>
    <w:rsid w:val="009B0B20"/>
    <w:rsid w:val="009B3472"/>
    <w:rsid w:val="009B4EAF"/>
    <w:rsid w:val="009B5B70"/>
    <w:rsid w:val="009B6D7A"/>
    <w:rsid w:val="009B7823"/>
    <w:rsid w:val="009C2E38"/>
    <w:rsid w:val="009C36DB"/>
    <w:rsid w:val="009C3723"/>
    <w:rsid w:val="009C3DD3"/>
    <w:rsid w:val="009C4891"/>
    <w:rsid w:val="009C70DA"/>
    <w:rsid w:val="009D0C27"/>
    <w:rsid w:val="009D5B11"/>
    <w:rsid w:val="009D6EDE"/>
    <w:rsid w:val="009E374E"/>
    <w:rsid w:val="009E422F"/>
    <w:rsid w:val="009F1626"/>
    <w:rsid w:val="009F24DB"/>
    <w:rsid w:val="009F280E"/>
    <w:rsid w:val="009F3365"/>
    <w:rsid w:val="009F35C7"/>
    <w:rsid w:val="00A00584"/>
    <w:rsid w:val="00A013AB"/>
    <w:rsid w:val="00A046B2"/>
    <w:rsid w:val="00A05A03"/>
    <w:rsid w:val="00A064B7"/>
    <w:rsid w:val="00A06B36"/>
    <w:rsid w:val="00A10076"/>
    <w:rsid w:val="00A115D3"/>
    <w:rsid w:val="00A11673"/>
    <w:rsid w:val="00A1238D"/>
    <w:rsid w:val="00A12F9F"/>
    <w:rsid w:val="00A21FDC"/>
    <w:rsid w:val="00A23146"/>
    <w:rsid w:val="00A277E1"/>
    <w:rsid w:val="00A300CB"/>
    <w:rsid w:val="00A3026D"/>
    <w:rsid w:val="00A3272F"/>
    <w:rsid w:val="00A329EB"/>
    <w:rsid w:val="00A32EDB"/>
    <w:rsid w:val="00A34A78"/>
    <w:rsid w:val="00A36090"/>
    <w:rsid w:val="00A40546"/>
    <w:rsid w:val="00A4196B"/>
    <w:rsid w:val="00A43A71"/>
    <w:rsid w:val="00A503A6"/>
    <w:rsid w:val="00A50AA9"/>
    <w:rsid w:val="00A5118D"/>
    <w:rsid w:val="00A52D4B"/>
    <w:rsid w:val="00A53338"/>
    <w:rsid w:val="00A534DE"/>
    <w:rsid w:val="00A5625F"/>
    <w:rsid w:val="00A56AA6"/>
    <w:rsid w:val="00A56EE4"/>
    <w:rsid w:val="00A56F03"/>
    <w:rsid w:val="00A6080C"/>
    <w:rsid w:val="00A63332"/>
    <w:rsid w:val="00A646BB"/>
    <w:rsid w:val="00A65150"/>
    <w:rsid w:val="00A668BE"/>
    <w:rsid w:val="00A71812"/>
    <w:rsid w:val="00A73564"/>
    <w:rsid w:val="00A815D6"/>
    <w:rsid w:val="00A83DA5"/>
    <w:rsid w:val="00A851A9"/>
    <w:rsid w:val="00A901C8"/>
    <w:rsid w:val="00A918F0"/>
    <w:rsid w:val="00A948A5"/>
    <w:rsid w:val="00A96A0C"/>
    <w:rsid w:val="00AA1C28"/>
    <w:rsid w:val="00AA6A9F"/>
    <w:rsid w:val="00AA7103"/>
    <w:rsid w:val="00AB1FD7"/>
    <w:rsid w:val="00AB21A7"/>
    <w:rsid w:val="00AB2D5E"/>
    <w:rsid w:val="00AB3258"/>
    <w:rsid w:val="00AC216E"/>
    <w:rsid w:val="00AC23DA"/>
    <w:rsid w:val="00AC4FC0"/>
    <w:rsid w:val="00AC55A3"/>
    <w:rsid w:val="00AC685A"/>
    <w:rsid w:val="00AC737F"/>
    <w:rsid w:val="00AD26FB"/>
    <w:rsid w:val="00AD5F75"/>
    <w:rsid w:val="00AD6CBB"/>
    <w:rsid w:val="00AE1D1A"/>
    <w:rsid w:val="00AE302E"/>
    <w:rsid w:val="00AE3CE6"/>
    <w:rsid w:val="00AE4BF4"/>
    <w:rsid w:val="00AF20E9"/>
    <w:rsid w:val="00AF2841"/>
    <w:rsid w:val="00AF2864"/>
    <w:rsid w:val="00AF3E28"/>
    <w:rsid w:val="00AF414A"/>
    <w:rsid w:val="00AF509A"/>
    <w:rsid w:val="00AF62B5"/>
    <w:rsid w:val="00AF63E5"/>
    <w:rsid w:val="00B01C3A"/>
    <w:rsid w:val="00B04E0A"/>
    <w:rsid w:val="00B0680B"/>
    <w:rsid w:val="00B07745"/>
    <w:rsid w:val="00B148CB"/>
    <w:rsid w:val="00B17BC6"/>
    <w:rsid w:val="00B200B1"/>
    <w:rsid w:val="00B2145C"/>
    <w:rsid w:val="00B228BD"/>
    <w:rsid w:val="00B22E2A"/>
    <w:rsid w:val="00B27A9A"/>
    <w:rsid w:val="00B303DD"/>
    <w:rsid w:val="00B3061E"/>
    <w:rsid w:val="00B331E2"/>
    <w:rsid w:val="00B348E2"/>
    <w:rsid w:val="00B3711F"/>
    <w:rsid w:val="00B37DB9"/>
    <w:rsid w:val="00B42A1B"/>
    <w:rsid w:val="00B457D1"/>
    <w:rsid w:val="00B45A0F"/>
    <w:rsid w:val="00B45AFB"/>
    <w:rsid w:val="00B56608"/>
    <w:rsid w:val="00B574EF"/>
    <w:rsid w:val="00B64A8C"/>
    <w:rsid w:val="00B64B87"/>
    <w:rsid w:val="00B65865"/>
    <w:rsid w:val="00B6603F"/>
    <w:rsid w:val="00B66322"/>
    <w:rsid w:val="00B7413A"/>
    <w:rsid w:val="00B82D9F"/>
    <w:rsid w:val="00B85810"/>
    <w:rsid w:val="00B86AC2"/>
    <w:rsid w:val="00B87573"/>
    <w:rsid w:val="00B90B94"/>
    <w:rsid w:val="00B94777"/>
    <w:rsid w:val="00B95058"/>
    <w:rsid w:val="00B962B4"/>
    <w:rsid w:val="00B96B11"/>
    <w:rsid w:val="00B97FAA"/>
    <w:rsid w:val="00BA0CE6"/>
    <w:rsid w:val="00BA1DD3"/>
    <w:rsid w:val="00BA327A"/>
    <w:rsid w:val="00BA3DD8"/>
    <w:rsid w:val="00BA4D9F"/>
    <w:rsid w:val="00BA5D82"/>
    <w:rsid w:val="00BA71B2"/>
    <w:rsid w:val="00BB2431"/>
    <w:rsid w:val="00BC1335"/>
    <w:rsid w:val="00BC246A"/>
    <w:rsid w:val="00BC598F"/>
    <w:rsid w:val="00BD189D"/>
    <w:rsid w:val="00BD68AE"/>
    <w:rsid w:val="00BE0399"/>
    <w:rsid w:val="00BE2F83"/>
    <w:rsid w:val="00BE49D1"/>
    <w:rsid w:val="00BE6E85"/>
    <w:rsid w:val="00BF3F8A"/>
    <w:rsid w:val="00BF4DDE"/>
    <w:rsid w:val="00C01302"/>
    <w:rsid w:val="00C13CB6"/>
    <w:rsid w:val="00C143A5"/>
    <w:rsid w:val="00C169CA"/>
    <w:rsid w:val="00C17932"/>
    <w:rsid w:val="00C17AAC"/>
    <w:rsid w:val="00C2048F"/>
    <w:rsid w:val="00C23B4D"/>
    <w:rsid w:val="00C43FF6"/>
    <w:rsid w:val="00C446AB"/>
    <w:rsid w:val="00C44901"/>
    <w:rsid w:val="00C45CDA"/>
    <w:rsid w:val="00C46358"/>
    <w:rsid w:val="00C46A03"/>
    <w:rsid w:val="00C47CFB"/>
    <w:rsid w:val="00C5437A"/>
    <w:rsid w:val="00C5486A"/>
    <w:rsid w:val="00C54F35"/>
    <w:rsid w:val="00C55D65"/>
    <w:rsid w:val="00C57AB3"/>
    <w:rsid w:val="00C620DD"/>
    <w:rsid w:val="00C63FEA"/>
    <w:rsid w:val="00C6577F"/>
    <w:rsid w:val="00C65887"/>
    <w:rsid w:val="00C671A0"/>
    <w:rsid w:val="00C70981"/>
    <w:rsid w:val="00C77D4D"/>
    <w:rsid w:val="00C8035F"/>
    <w:rsid w:val="00C81C70"/>
    <w:rsid w:val="00C857A3"/>
    <w:rsid w:val="00C85B64"/>
    <w:rsid w:val="00C86CEA"/>
    <w:rsid w:val="00C86F33"/>
    <w:rsid w:val="00C9555F"/>
    <w:rsid w:val="00C9595A"/>
    <w:rsid w:val="00C95D47"/>
    <w:rsid w:val="00C976E8"/>
    <w:rsid w:val="00CA2775"/>
    <w:rsid w:val="00CA79A9"/>
    <w:rsid w:val="00CB12ED"/>
    <w:rsid w:val="00CB287E"/>
    <w:rsid w:val="00CB433B"/>
    <w:rsid w:val="00CB7150"/>
    <w:rsid w:val="00CC2B5B"/>
    <w:rsid w:val="00CC2C92"/>
    <w:rsid w:val="00CC72DA"/>
    <w:rsid w:val="00CD138A"/>
    <w:rsid w:val="00CD42E5"/>
    <w:rsid w:val="00CD55F0"/>
    <w:rsid w:val="00CE0271"/>
    <w:rsid w:val="00CE0EBE"/>
    <w:rsid w:val="00CE1494"/>
    <w:rsid w:val="00CE4369"/>
    <w:rsid w:val="00D03FEC"/>
    <w:rsid w:val="00D061B0"/>
    <w:rsid w:val="00D10BB0"/>
    <w:rsid w:val="00D1378C"/>
    <w:rsid w:val="00D13F69"/>
    <w:rsid w:val="00D1406C"/>
    <w:rsid w:val="00D15F44"/>
    <w:rsid w:val="00D1733C"/>
    <w:rsid w:val="00D220E7"/>
    <w:rsid w:val="00D22809"/>
    <w:rsid w:val="00D22B95"/>
    <w:rsid w:val="00D24C11"/>
    <w:rsid w:val="00D32D87"/>
    <w:rsid w:val="00D34DA4"/>
    <w:rsid w:val="00D41E8B"/>
    <w:rsid w:val="00D42CFA"/>
    <w:rsid w:val="00D450F7"/>
    <w:rsid w:val="00D45CDC"/>
    <w:rsid w:val="00D5547D"/>
    <w:rsid w:val="00D55623"/>
    <w:rsid w:val="00D55BF1"/>
    <w:rsid w:val="00D5652D"/>
    <w:rsid w:val="00D56BE9"/>
    <w:rsid w:val="00D57424"/>
    <w:rsid w:val="00D62005"/>
    <w:rsid w:val="00D6275E"/>
    <w:rsid w:val="00D6674D"/>
    <w:rsid w:val="00D71529"/>
    <w:rsid w:val="00D7204E"/>
    <w:rsid w:val="00D73C9B"/>
    <w:rsid w:val="00D769CE"/>
    <w:rsid w:val="00D81E05"/>
    <w:rsid w:val="00D93377"/>
    <w:rsid w:val="00D94BC1"/>
    <w:rsid w:val="00D961D4"/>
    <w:rsid w:val="00D96468"/>
    <w:rsid w:val="00DA2335"/>
    <w:rsid w:val="00DA3815"/>
    <w:rsid w:val="00DA5511"/>
    <w:rsid w:val="00DA71CD"/>
    <w:rsid w:val="00DB26C3"/>
    <w:rsid w:val="00DB2940"/>
    <w:rsid w:val="00DB6083"/>
    <w:rsid w:val="00DB70BE"/>
    <w:rsid w:val="00DC08CB"/>
    <w:rsid w:val="00DC173E"/>
    <w:rsid w:val="00DC4BAB"/>
    <w:rsid w:val="00DD0767"/>
    <w:rsid w:val="00DD6AA5"/>
    <w:rsid w:val="00DE368A"/>
    <w:rsid w:val="00DE5040"/>
    <w:rsid w:val="00DE5825"/>
    <w:rsid w:val="00DE5ED1"/>
    <w:rsid w:val="00DE6C8B"/>
    <w:rsid w:val="00DF081A"/>
    <w:rsid w:val="00DF2878"/>
    <w:rsid w:val="00DF4528"/>
    <w:rsid w:val="00DF51DA"/>
    <w:rsid w:val="00DF5C66"/>
    <w:rsid w:val="00E02BD6"/>
    <w:rsid w:val="00E036A9"/>
    <w:rsid w:val="00E044F9"/>
    <w:rsid w:val="00E049FA"/>
    <w:rsid w:val="00E05622"/>
    <w:rsid w:val="00E06329"/>
    <w:rsid w:val="00E063CB"/>
    <w:rsid w:val="00E073A1"/>
    <w:rsid w:val="00E076DB"/>
    <w:rsid w:val="00E10F3D"/>
    <w:rsid w:val="00E11422"/>
    <w:rsid w:val="00E11884"/>
    <w:rsid w:val="00E124C5"/>
    <w:rsid w:val="00E1295D"/>
    <w:rsid w:val="00E15BD0"/>
    <w:rsid w:val="00E21836"/>
    <w:rsid w:val="00E22708"/>
    <w:rsid w:val="00E23E94"/>
    <w:rsid w:val="00E2404B"/>
    <w:rsid w:val="00E2440D"/>
    <w:rsid w:val="00E25BC1"/>
    <w:rsid w:val="00E30445"/>
    <w:rsid w:val="00E3705B"/>
    <w:rsid w:val="00E37CE2"/>
    <w:rsid w:val="00E42AB3"/>
    <w:rsid w:val="00E42D91"/>
    <w:rsid w:val="00E43E8F"/>
    <w:rsid w:val="00E43F78"/>
    <w:rsid w:val="00E50BB7"/>
    <w:rsid w:val="00E55156"/>
    <w:rsid w:val="00E57379"/>
    <w:rsid w:val="00E65FC6"/>
    <w:rsid w:val="00E67B20"/>
    <w:rsid w:val="00E70BE6"/>
    <w:rsid w:val="00E717D2"/>
    <w:rsid w:val="00E753B6"/>
    <w:rsid w:val="00E8127F"/>
    <w:rsid w:val="00E83D92"/>
    <w:rsid w:val="00E851B4"/>
    <w:rsid w:val="00E85F7A"/>
    <w:rsid w:val="00E86885"/>
    <w:rsid w:val="00E86FD0"/>
    <w:rsid w:val="00E92771"/>
    <w:rsid w:val="00E92AB3"/>
    <w:rsid w:val="00E938B9"/>
    <w:rsid w:val="00E93D50"/>
    <w:rsid w:val="00E94697"/>
    <w:rsid w:val="00E949BD"/>
    <w:rsid w:val="00EA1415"/>
    <w:rsid w:val="00EA39BF"/>
    <w:rsid w:val="00EB36E1"/>
    <w:rsid w:val="00EB41FC"/>
    <w:rsid w:val="00EB4B04"/>
    <w:rsid w:val="00EB67DD"/>
    <w:rsid w:val="00EC5E2C"/>
    <w:rsid w:val="00EC6EC7"/>
    <w:rsid w:val="00EC7577"/>
    <w:rsid w:val="00ED2B3D"/>
    <w:rsid w:val="00ED4FB4"/>
    <w:rsid w:val="00ED6BF8"/>
    <w:rsid w:val="00EE3C29"/>
    <w:rsid w:val="00EE5A45"/>
    <w:rsid w:val="00EE5D6B"/>
    <w:rsid w:val="00EE60A6"/>
    <w:rsid w:val="00EF0F69"/>
    <w:rsid w:val="00EF1497"/>
    <w:rsid w:val="00EF6414"/>
    <w:rsid w:val="00F02DBB"/>
    <w:rsid w:val="00F0441C"/>
    <w:rsid w:val="00F06791"/>
    <w:rsid w:val="00F069B6"/>
    <w:rsid w:val="00F10B5B"/>
    <w:rsid w:val="00F11385"/>
    <w:rsid w:val="00F179C4"/>
    <w:rsid w:val="00F30388"/>
    <w:rsid w:val="00F30D8A"/>
    <w:rsid w:val="00F316E3"/>
    <w:rsid w:val="00F33149"/>
    <w:rsid w:val="00F33FB6"/>
    <w:rsid w:val="00F35F82"/>
    <w:rsid w:val="00F372BF"/>
    <w:rsid w:val="00F37312"/>
    <w:rsid w:val="00F43056"/>
    <w:rsid w:val="00F44891"/>
    <w:rsid w:val="00F53DE0"/>
    <w:rsid w:val="00F54F07"/>
    <w:rsid w:val="00F60A87"/>
    <w:rsid w:val="00F60CE3"/>
    <w:rsid w:val="00F613EF"/>
    <w:rsid w:val="00F63500"/>
    <w:rsid w:val="00F63C79"/>
    <w:rsid w:val="00F64AD8"/>
    <w:rsid w:val="00F712B9"/>
    <w:rsid w:val="00F7308B"/>
    <w:rsid w:val="00F7550D"/>
    <w:rsid w:val="00F76051"/>
    <w:rsid w:val="00F762BC"/>
    <w:rsid w:val="00F8063A"/>
    <w:rsid w:val="00F83FD4"/>
    <w:rsid w:val="00F846A6"/>
    <w:rsid w:val="00F8585B"/>
    <w:rsid w:val="00F85CF7"/>
    <w:rsid w:val="00F879BD"/>
    <w:rsid w:val="00F91256"/>
    <w:rsid w:val="00F92705"/>
    <w:rsid w:val="00F93C3E"/>
    <w:rsid w:val="00FA14B5"/>
    <w:rsid w:val="00FA3123"/>
    <w:rsid w:val="00FA6648"/>
    <w:rsid w:val="00FA6770"/>
    <w:rsid w:val="00FB0442"/>
    <w:rsid w:val="00FB5A74"/>
    <w:rsid w:val="00FC0BE7"/>
    <w:rsid w:val="00FC527D"/>
    <w:rsid w:val="00FC58A9"/>
    <w:rsid w:val="00FC5AEE"/>
    <w:rsid w:val="00FD35E7"/>
    <w:rsid w:val="00FE0414"/>
    <w:rsid w:val="00FE05F4"/>
    <w:rsid w:val="00FE0C00"/>
    <w:rsid w:val="00FE14FA"/>
    <w:rsid w:val="00FE2C7D"/>
    <w:rsid w:val="00FF0933"/>
    <w:rsid w:val="00FF42B6"/>
    <w:rsid w:val="021E3754"/>
    <w:rsid w:val="02C626ED"/>
    <w:rsid w:val="033C2432"/>
    <w:rsid w:val="04312C28"/>
    <w:rsid w:val="05E25363"/>
    <w:rsid w:val="06DF79A0"/>
    <w:rsid w:val="070E04B1"/>
    <w:rsid w:val="0837398B"/>
    <w:rsid w:val="09684744"/>
    <w:rsid w:val="09C167BD"/>
    <w:rsid w:val="0A002A22"/>
    <w:rsid w:val="0A106BD1"/>
    <w:rsid w:val="0A2D423C"/>
    <w:rsid w:val="0B977501"/>
    <w:rsid w:val="0C9A3DEB"/>
    <w:rsid w:val="0CEF0855"/>
    <w:rsid w:val="0D4430A9"/>
    <w:rsid w:val="0D9206DA"/>
    <w:rsid w:val="0D9D6E01"/>
    <w:rsid w:val="0E762787"/>
    <w:rsid w:val="0EA63276"/>
    <w:rsid w:val="0FC85B55"/>
    <w:rsid w:val="107A574E"/>
    <w:rsid w:val="10E94AC2"/>
    <w:rsid w:val="12233E38"/>
    <w:rsid w:val="13FE18A2"/>
    <w:rsid w:val="146A5369"/>
    <w:rsid w:val="146E592B"/>
    <w:rsid w:val="14773A8D"/>
    <w:rsid w:val="14A02316"/>
    <w:rsid w:val="14F450DE"/>
    <w:rsid w:val="155334CC"/>
    <w:rsid w:val="159B7C4F"/>
    <w:rsid w:val="15D46CBD"/>
    <w:rsid w:val="16D01B7A"/>
    <w:rsid w:val="16D90B3D"/>
    <w:rsid w:val="178A4D4E"/>
    <w:rsid w:val="17920BDE"/>
    <w:rsid w:val="181322DD"/>
    <w:rsid w:val="18394FE2"/>
    <w:rsid w:val="193A4202"/>
    <w:rsid w:val="195C0C82"/>
    <w:rsid w:val="19E06D10"/>
    <w:rsid w:val="1AC057AB"/>
    <w:rsid w:val="1B0A03D8"/>
    <w:rsid w:val="1B582494"/>
    <w:rsid w:val="1C5F4B9A"/>
    <w:rsid w:val="1C8431EB"/>
    <w:rsid w:val="1CEA4DAD"/>
    <w:rsid w:val="1CF12464"/>
    <w:rsid w:val="1D2E35FA"/>
    <w:rsid w:val="1D8B6E22"/>
    <w:rsid w:val="1D9B7CCF"/>
    <w:rsid w:val="1DE0349E"/>
    <w:rsid w:val="1E896BB5"/>
    <w:rsid w:val="1E92071C"/>
    <w:rsid w:val="1ECE2858"/>
    <w:rsid w:val="1F3A4A62"/>
    <w:rsid w:val="1FEA5B45"/>
    <w:rsid w:val="1FED29AA"/>
    <w:rsid w:val="1FFF793F"/>
    <w:rsid w:val="2031750B"/>
    <w:rsid w:val="20CF547B"/>
    <w:rsid w:val="20E039F5"/>
    <w:rsid w:val="214D4F0F"/>
    <w:rsid w:val="21AD548B"/>
    <w:rsid w:val="220015D2"/>
    <w:rsid w:val="22A06B32"/>
    <w:rsid w:val="232B5B26"/>
    <w:rsid w:val="246A7B2A"/>
    <w:rsid w:val="24A15F80"/>
    <w:rsid w:val="25A27D6A"/>
    <w:rsid w:val="264D6C20"/>
    <w:rsid w:val="265A4FBD"/>
    <w:rsid w:val="289A3D51"/>
    <w:rsid w:val="2A1525EE"/>
    <w:rsid w:val="2ACE09C7"/>
    <w:rsid w:val="2AD82192"/>
    <w:rsid w:val="2AFE23BA"/>
    <w:rsid w:val="2C7D6B83"/>
    <w:rsid w:val="2D881C33"/>
    <w:rsid w:val="2DD700A8"/>
    <w:rsid w:val="2E62435A"/>
    <w:rsid w:val="2F0A0BF8"/>
    <w:rsid w:val="2F1F3100"/>
    <w:rsid w:val="2FC71915"/>
    <w:rsid w:val="2FE83639"/>
    <w:rsid w:val="2FEA6BB4"/>
    <w:rsid w:val="307B32E4"/>
    <w:rsid w:val="30AC045D"/>
    <w:rsid w:val="31384F8A"/>
    <w:rsid w:val="31A222CF"/>
    <w:rsid w:val="34A629D4"/>
    <w:rsid w:val="35074561"/>
    <w:rsid w:val="364540A2"/>
    <w:rsid w:val="369342FF"/>
    <w:rsid w:val="36D93107"/>
    <w:rsid w:val="37D050DF"/>
    <w:rsid w:val="37D50826"/>
    <w:rsid w:val="37FF1E54"/>
    <w:rsid w:val="38331729"/>
    <w:rsid w:val="39FFA8FC"/>
    <w:rsid w:val="3A0513D8"/>
    <w:rsid w:val="3A6C2297"/>
    <w:rsid w:val="3AD24A05"/>
    <w:rsid w:val="3AFF3017"/>
    <w:rsid w:val="3B174B48"/>
    <w:rsid w:val="3C0E0A17"/>
    <w:rsid w:val="3C0E61D6"/>
    <w:rsid w:val="3C7012DA"/>
    <w:rsid w:val="3C9A6021"/>
    <w:rsid w:val="3D262953"/>
    <w:rsid w:val="3E184EC4"/>
    <w:rsid w:val="3F355B60"/>
    <w:rsid w:val="3F5B51B1"/>
    <w:rsid w:val="434F0614"/>
    <w:rsid w:val="43BE2B29"/>
    <w:rsid w:val="44367D4A"/>
    <w:rsid w:val="44AA021C"/>
    <w:rsid w:val="465F5FAB"/>
    <w:rsid w:val="46EC22D2"/>
    <w:rsid w:val="478A4EA2"/>
    <w:rsid w:val="47DF38D8"/>
    <w:rsid w:val="47FD500C"/>
    <w:rsid w:val="485D2612"/>
    <w:rsid w:val="48A22C73"/>
    <w:rsid w:val="490B204A"/>
    <w:rsid w:val="4A470D09"/>
    <w:rsid w:val="4A877774"/>
    <w:rsid w:val="4AD97B6B"/>
    <w:rsid w:val="4AF70CF6"/>
    <w:rsid w:val="4B602713"/>
    <w:rsid w:val="4C7079EB"/>
    <w:rsid w:val="50A20D13"/>
    <w:rsid w:val="51BD6BFD"/>
    <w:rsid w:val="51F37EF0"/>
    <w:rsid w:val="52DA1858"/>
    <w:rsid w:val="53AC65A8"/>
    <w:rsid w:val="549F610D"/>
    <w:rsid w:val="55441632"/>
    <w:rsid w:val="55557142"/>
    <w:rsid w:val="56391694"/>
    <w:rsid w:val="56F70FFB"/>
    <w:rsid w:val="577926CE"/>
    <w:rsid w:val="589831B1"/>
    <w:rsid w:val="597B452C"/>
    <w:rsid w:val="59FFBB1C"/>
    <w:rsid w:val="5B966E14"/>
    <w:rsid w:val="5D2CE0EE"/>
    <w:rsid w:val="5DDC2A3E"/>
    <w:rsid w:val="5DEB56CF"/>
    <w:rsid w:val="5E11366D"/>
    <w:rsid w:val="5E767EDE"/>
    <w:rsid w:val="5F7547BF"/>
    <w:rsid w:val="5FF18286"/>
    <w:rsid w:val="5FFBB810"/>
    <w:rsid w:val="5FFF04D1"/>
    <w:rsid w:val="61066C57"/>
    <w:rsid w:val="611D210F"/>
    <w:rsid w:val="614473CF"/>
    <w:rsid w:val="622310CF"/>
    <w:rsid w:val="622E0F34"/>
    <w:rsid w:val="645F2D61"/>
    <w:rsid w:val="64AF3265"/>
    <w:rsid w:val="66841A21"/>
    <w:rsid w:val="66FF365C"/>
    <w:rsid w:val="6750582D"/>
    <w:rsid w:val="67700551"/>
    <w:rsid w:val="67746F85"/>
    <w:rsid w:val="67FA1F52"/>
    <w:rsid w:val="694C0BF8"/>
    <w:rsid w:val="69855479"/>
    <w:rsid w:val="6A796B0C"/>
    <w:rsid w:val="6B7F7E2B"/>
    <w:rsid w:val="6C1C139C"/>
    <w:rsid w:val="6D0E3931"/>
    <w:rsid w:val="6D1C1BD1"/>
    <w:rsid w:val="6DBF2BDB"/>
    <w:rsid w:val="6EFD0D26"/>
    <w:rsid w:val="6F824BF4"/>
    <w:rsid w:val="6F8860DA"/>
    <w:rsid w:val="6FBB7F1C"/>
    <w:rsid w:val="6FF34A3B"/>
    <w:rsid w:val="70120A71"/>
    <w:rsid w:val="701A5722"/>
    <w:rsid w:val="70606C9C"/>
    <w:rsid w:val="71351220"/>
    <w:rsid w:val="713E54E0"/>
    <w:rsid w:val="721E46BD"/>
    <w:rsid w:val="722D3F27"/>
    <w:rsid w:val="72C47045"/>
    <w:rsid w:val="73024AE7"/>
    <w:rsid w:val="732F3049"/>
    <w:rsid w:val="747156C8"/>
    <w:rsid w:val="75073011"/>
    <w:rsid w:val="75E20EF2"/>
    <w:rsid w:val="76B47ECF"/>
    <w:rsid w:val="76CE66B2"/>
    <w:rsid w:val="76FE433F"/>
    <w:rsid w:val="776F57EB"/>
    <w:rsid w:val="782E602D"/>
    <w:rsid w:val="78737D0E"/>
    <w:rsid w:val="789312D7"/>
    <w:rsid w:val="78C91189"/>
    <w:rsid w:val="78FFC561"/>
    <w:rsid w:val="793FF73B"/>
    <w:rsid w:val="799A6D1F"/>
    <w:rsid w:val="799E11E2"/>
    <w:rsid w:val="79FB30BF"/>
    <w:rsid w:val="7A3565F1"/>
    <w:rsid w:val="7B2441FA"/>
    <w:rsid w:val="7B7F1950"/>
    <w:rsid w:val="7C4C5489"/>
    <w:rsid w:val="7C59AB29"/>
    <w:rsid w:val="7C7B9869"/>
    <w:rsid w:val="7CB15C69"/>
    <w:rsid w:val="7CC6631D"/>
    <w:rsid w:val="7DEF98CF"/>
    <w:rsid w:val="7DF0795C"/>
    <w:rsid w:val="7E36021B"/>
    <w:rsid w:val="7F8C706B"/>
    <w:rsid w:val="7FCD5C27"/>
    <w:rsid w:val="7FE95236"/>
    <w:rsid w:val="7FFDF316"/>
    <w:rsid w:val="7FFE055E"/>
    <w:rsid w:val="7FFF7251"/>
    <w:rsid w:val="9EF9AD97"/>
    <w:rsid w:val="B5AF370B"/>
    <w:rsid w:val="BCFED18D"/>
    <w:rsid w:val="BF772312"/>
    <w:rsid w:val="BFB75E8D"/>
    <w:rsid w:val="BFFFE51C"/>
    <w:rsid w:val="CFD424D3"/>
    <w:rsid w:val="DADB5383"/>
    <w:rsid w:val="DCFBC26E"/>
    <w:rsid w:val="E23F1167"/>
    <w:rsid w:val="E6F255F9"/>
    <w:rsid w:val="E7BECF3D"/>
    <w:rsid w:val="EBAC2697"/>
    <w:rsid w:val="EFEF55CB"/>
    <w:rsid w:val="EFFEE9CA"/>
    <w:rsid w:val="F3FE5708"/>
    <w:rsid w:val="F3FE9C1F"/>
    <w:rsid w:val="F6FF38D2"/>
    <w:rsid w:val="F7373C87"/>
    <w:rsid w:val="F7EEFFB5"/>
    <w:rsid w:val="F7FB2114"/>
    <w:rsid w:val="F8FFE18C"/>
    <w:rsid w:val="F9BD676B"/>
    <w:rsid w:val="F9F56FE0"/>
    <w:rsid w:val="F9F8F615"/>
    <w:rsid w:val="FA6AA385"/>
    <w:rsid w:val="FAE57C08"/>
    <w:rsid w:val="FBBB4A37"/>
    <w:rsid w:val="FCEB75EE"/>
    <w:rsid w:val="FDD1A23E"/>
    <w:rsid w:val="FDF7DADB"/>
    <w:rsid w:val="FE7BD6DF"/>
    <w:rsid w:val="FEF9BA40"/>
    <w:rsid w:val="FF6F3A1B"/>
    <w:rsid w:val="FFBEE97F"/>
    <w:rsid w:val="FFDFE9F7"/>
    <w:rsid w:val="FFF69D3C"/>
    <w:rsid w:val="FFFF867B"/>
  </w:rsids>
  <m:mathPr>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60" w:after="60" w:line="360" w:lineRule="auto"/>
      <w:ind w:firstLine="200" w:firstLineChars="200"/>
      <w:jc w:val="both"/>
    </w:pPr>
    <w:rPr>
      <w:rFonts w:ascii="Arial" w:hAnsi="Arial" w:eastAsia="宋体" w:cs="Times New Roman"/>
      <w:kern w:val="2"/>
      <w:sz w:val="24"/>
      <w:szCs w:val="24"/>
      <w:lang w:val="en-US" w:eastAsia="zh-CN" w:bidi="ar-SA"/>
    </w:rPr>
  </w:style>
  <w:style w:type="paragraph" w:styleId="2">
    <w:name w:val="heading 1"/>
    <w:basedOn w:val="1"/>
    <w:next w:val="1"/>
    <w:link w:val="32"/>
    <w:qFormat/>
    <w:uiPriority w:val="0"/>
    <w:pPr>
      <w:keepNext/>
      <w:keepLines/>
      <w:numPr>
        <w:ilvl w:val="0"/>
        <w:numId w:val="1"/>
      </w:numPr>
      <w:spacing w:before="340" w:after="330" w:line="578" w:lineRule="auto"/>
      <w:ind w:firstLine="0" w:firstLineChars="0"/>
      <w:outlineLvl w:val="0"/>
    </w:pPr>
    <w:rPr>
      <w:rFonts w:ascii="Times New Roman" w:hAnsi="Times New Roman"/>
      <w:b/>
      <w:bCs/>
      <w:kern w:val="44"/>
      <w:sz w:val="44"/>
      <w:szCs w:val="44"/>
    </w:rPr>
  </w:style>
  <w:style w:type="paragraph" w:styleId="3">
    <w:name w:val="heading 2"/>
    <w:basedOn w:val="1"/>
    <w:next w:val="1"/>
    <w:link w:val="40"/>
    <w:qFormat/>
    <w:uiPriority w:val="0"/>
    <w:pPr>
      <w:keepNext/>
      <w:keepLines/>
      <w:numPr>
        <w:ilvl w:val="1"/>
        <w:numId w:val="1"/>
      </w:numPr>
      <w:tabs>
        <w:tab w:val="left" w:pos="720"/>
      </w:tabs>
      <w:spacing w:before="260" w:after="260" w:line="416" w:lineRule="auto"/>
      <w:ind w:firstLine="0" w:firstLineChars="0"/>
      <w:outlineLvl w:val="1"/>
    </w:pPr>
    <w:rPr>
      <w:rFonts w:eastAsia="黑体"/>
      <w:b/>
      <w:bCs/>
      <w:kern w:val="0"/>
      <w:sz w:val="32"/>
      <w:szCs w:val="32"/>
    </w:rPr>
  </w:style>
  <w:style w:type="paragraph" w:styleId="4">
    <w:name w:val="heading 3"/>
    <w:basedOn w:val="1"/>
    <w:next w:val="1"/>
    <w:link w:val="42"/>
    <w:qFormat/>
    <w:uiPriority w:val="0"/>
    <w:pPr>
      <w:keepNext/>
      <w:keepLines/>
      <w:numPr>
        <w:ilvl w:val="2"/>
        <w:numId w:val="1"/>
      </w:numPr>
      <w:spacing w:before="260" w:after="260" w:line="416" w:lineRule="auto"/>
      <w:ind w:firstLine="0" w:firstLineChars="0"/>
      <w:outlineLvl w:val="2"/>
    </w:pPr>
    <w:rPr>
      <w:rFonts w:ascii="Times New Roman" w:hAnsi="Times New Roman"/>
      <w:b/>
      <w:bCs/>
      <w:kern w:val="0"/>
      <w:sz w:val="32"/>
      <w:szCs w:val="32"/>
    </w:rPr>
  </w:style>
  <w:style w:type="paragraph" w:styleId="5">
    <w:name w:val="heading 4"/>
    <w:basedOn w:val="1"/>
    <w:next w:val="1"/>
    <w:link w:val="25"/>
    <w:qFormat/>
    <w:uiPriority w:val="0"/>
    <w:pPr>
      <w:keepNext/>
      <w:keepLines/>
      <w:numPr>
        <w:ilvl w:val="3"/>
        <w:numId w:val="1"/>
      </w:numPr>
      <w:spacing w:before="280" w:after="290" w:line="376" w:lineRule="auto"/>
      <w:ind w:firstLine="0" w:firstLineChars="0"/>
      <w:outlineLvl w:val="3"/>
    </w:pPr>
    <w:rPr>
      <w:rFonts w:eastAsia="黑体"/>
      <w:b/>
      <w:bCs/>
      <w:kern w:val="0"/>
      <w:sz w:val="28"/>
      <w:szCs w:val="28"/>
    </w:rPr>
  </w:style>
  <w:style w:type="paragraph" w:styleId="6">
    <w:name w:val="heading 5"/>
    <w:basedOn w:val="1"/>
    <w:next w:val="1"/>
    <w:link w:val="43"/>
    <w:qFormat/>
    <w:uiPriority w:val="0"/>
    <w:pPr>
      <w:keepNext/>
      <w:keepLines/>
      <w:numPr>
        <w:ilvl w:val="4"/>
        <w:numId w:val="1"/>
      </w:numPr>
      <w:spacing w:before="280" w:after="290" w:line="376" w:lineRule="auto"/>
      <w:ind w:firstLine="0" w:firstLineChars="0"/>
      <w:outlineLvl w:val="4"/>
    </w:pPr>
    <w:rPr>
      <w:rFonts w:ascii="Times New Roman" w:hAnsi="Times New Roman"/>
      <w:b/>
      <w:bCs/>
      <w:kern w:val="0"/>
      <w:sz w:val="28"/>
      <w:szCs w:val="28"/>
    </w:rPr>
  </w:style>
  <w:style w:type="paragraph" w:styleId="7">
    <w:name w:val="heading 6"/>
    <w:basedOn w:val="1"/>
    <w:next w:val="1"/>
    <w:link w:val="36"/>
    <w:qFormat/>
    <w:uiPriority w:val="0"/>
    <w:pPr>
      <w:keepNext/>
      <w:keepLines/>
      <w:numPr>
        <w:ilvl w:val="5"/>
        <w:numId w:val="1"/>
      </w:numPr>
      <w:spacing w:before="240" w:after="64" w:line="320" w:lineRule="auto"/>
      <w:ind w:firstLine="0" w:firstLineChars="0"/>
      <w:outlineLvl w:val="5"/>
    </w:pPr>
    <w:rPr>
      <w:rFonts w:eastAsia="黑体"/>
      <w:b/>
      <w:bCs/>
      <w:kern w:val="0"/>
    </w:rPr>
  </w:style>
  <w:style w:type="paragraph" w:styleId="8">
    <w:name w:val="heading 7"/>
    <w:basedOn w:val="1"/>
    <w:next w:val="1"/>
    <w:link w:val="31"/>
    <w:qFormat/>
    <w:uiPriority w:val="0"/>
    <w:pPr>
      <w:keepNext/>
      <w:keepLines/>
      <w:numPr>
        <w:ilvl w:val="6"/>
        <w:numId w:val="1"/>
      </w:numPr>
      <w:spacing w:before="240" w:after="64" w:line="320" w:lineRule="auto"/>
      <w:ind w:firstLine="0" w:firstLineChars="0"/>
      <w:outlineLvl w:val="6"/>
    </w:pPr>
    <w:rPr>
      <w:rFonts w:ascii="Times New Roman" w:hAnsi="Times New Roman"/>
      <w:b/>
      <w:bCs/>
      <w:kern w:val="0"/>
    </w:rPr>
  </w:style>
  <w:style w:type="paragraph" w:styleId="9">
    <w:name w:val="heading 8"/>
    <w:basedOn w:val="1"/>
    <w:next w:val="1"/>
    <w:link w:val="44"/>
    <w:qFormat/>
    <w:uiPriority w:val="0"/>
    <w:pPr>
      <w:keepNext/>
      <w:keepLines/>
      <w:numPr>
        <w:ilvl w:val="7"/>
        <w:numId w:val="1"/>
      </w:numPr>
      <w:spacing w:before="240" w:after="64" w:line="320" w:lineRule="auto"/>
      <w:ind w:firstLine="0" w:firstLineChars="0"/>
      <w:outlineLvl w:val="7"/>
    </w:pPr>
    <w:rPr>
      <w:rFonts w:eastAsia="黑体"/>
      <w:kern w:val="0"/>
    </w:rPr>
  </w:style>
  <w:style w:type="paragraph" w:styleId="10">
    <w:name w:val="heading 9"/>
    <w:basedOn w:val="1"/>
    <w:next w:val="1"/>
    <w:link w:val="38"/>
    <w:qFormat/>
    <w:uiPriority w:val="0"/>
    <w:pPr>
      <w:keepNext/>
      <w:keepLines/>
      <w:numPr>
        <w:ilvl w:val="8"/>
        <w:numId w:val="1"/>
      </w:numPr>
      <w:spacing w:before="240" w:after="64" w:line="320" w:lineRule="auto"/>
      <w:ind w:firstLine="0" w:firstLineChars="0"/>
      <w:outlineLvl w:val="8"/>
    </w:pPr>
    <w:rPr>
      <w:rFonts w:eastAsia="黑体"/>
      <w:kern w:val="0"/>
      <w:sz w:val="20"/>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qFormat/>
    <w:uiPriority w:val="0"/>
    <w:pPr>
      <w:spacing w:line="300" w:lineRule="auto"/>
      <w:ind w:firstLine="420"/>
      <w:textAlignment w:val="baseline"/>
    </w:pPr>
    <w:rPr>
      <w:szCs w:val="20"/>
    </w:rPr>
  </w:style>
  <w:style w:type="paragraph" w:styleId="12">
    <w:name w:val="Document Map"/>
    <w:basedOn w:val="1"/>
    <w:link w:val="35"/>
    <w:semiHidden/>
    <w:unhideWhenUsed/>
    <w:qFormat/>
    <w:uiPriority w:val="99"/>
    <w:rPr>
      <w:rFonts w:ascii="宋体"/>
      <w:kern w:val="0"/>
      <w:sz w:val="18"/>
      <w:szCs w:val="18"/>
    </w:rPr>
  </w:style>
  <w:style w:type="paragraph" w:styleId="13">
    <w:name w:val="annotation text"/>
    <w:basedOn w:val="1"/>
    <w:link w:val="27"/>
    <w:semiHidden/>
    <w:unhideWhenUsed/>
    <w:qFormat/>
    <w:uiPriority w:val="99"/>
    <w:pPr>
      <w:jc w:val="left"/>
    </w:pPr>
    <w:rPr>
      <w:kern w:val="0"/>
    </w:rPr>
  </w:style>
  <w:style w:type="paragraph" w:styleId="14">
    <w:name w:val="Salutation"/>
    <w:basedOn w:val="1"/>
    <w:next w:val="1"/>
    <w:link w:val="30"/>
    <w:qFormat/>
    <w:uiPriority w:val="0"/>
    <w:pPr>
      <w:spacing w:before="0" w:after="0" w:line="240" w:lineRule="auto"/>
      <w:ind w:firstLine="0" w:firstLineChars="0"/>
    </w:pPr>
    <w:rPr>
      <w:rFonts w:ascii="Times New Roman" w:hAnsi="Times New Roman"/>
      <w:kern w:val="0"/>
      <w:szCs w:val="20"/>
    </w:rPr>
  </w:style>
  <w:style w:type="paragraph" w:styleId="15">
    <w:name w:val="Balloon Text"/>
    <w:basedOn w:val="1"/>
    <w:link w:val="39"/>
    <w:semiHidden/>
    <w:unhideWhenUsed/>
    <w:qFormat/>
    <w:uiPriority w:val="99"/>
    <w:pPr>
      <w:spacing w:before="0" w:after="0" w:line="240" w:lineRule="auto"/>
    </w:pPr>
    <w:rPr>
      <w:kern w:val="0"/>
      <w:sz w:val="18"/>
      <w:szCs w:val="18"/>
    </w:rPr>
  </w:style>
  <w:style w:type="paragraph" w:styleId="16">
    <w:name w:val="footer"/>
    <w:basedOn w:val="1"/>
    <w:link w:val="37"/>
    <w:unhideWhenUsed/>
    <w:qFormat/>
    <w:uiPriority w:val="99"/>
    <w:pPr>
      <w:tabs>
        <w:tab w:val="center" w:pos="4153"/>
        <w:tab w:val="right" w:pos="8306"/>
      </w:tabs>
      <w:snapToGrid w:val="0"/>
      <w:spacing w:line="240" w:lineRule="auto"/>
      <w:jc w:val="left"/>
    </w:pPr>
    <w:rPr>
      <w:kern w:val="0"/>
      <w:sz w:val="18"/>
      <w:szCs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spacing w:line="240" w:lineRule="auto"/>
      <w:jc w:val="center"/>
    </w:pPr>
    <w:rPr>
      <w:kern w:val="0"/>
      <w:sz w:val="18"/>
      <w:szCs w:val="18"/>
    </w:rPr>
  </w:style>
  <w:style w:type="paragraph" w:styleId="18">
    <w:name w:val="toc 2"/>
    <w:basedOn w:val="1"/>
    <w:next w:val="1"/>
    <w:qFormat/>
    <w:uiPriority w:val="39"/>
    <w:pPr>
      <w:tabs>
        <w:tab w:val="left" w:pos="1080"/>
        <w:tab w:val="right" w:leader="dot" w:pos="8302"/>
      </w:tabs>
      <w:ind w:left="1080" w:leftChars="150" w:hanging="720" w:hangingChars="360"/>
      <w:jc w:val="left"/>
    </w:pPr>
    <w:rPr>
      <w:smallCaps/>
      <w:sz w:val="20"/>
      <w:szCs w:val="20"/>
    </w:rPr>
  </w:style>
  <w:style w:type="paragraph" w:styleId="19">
    <w:name w:val="Normal (Web)"/>
    <w:basedOn w:val="1"/>
    <w:unhideWhenUsed/>
    <w:qFormat/>
    <w:uiPriority w:val="99"/>
    <w:pPr>
      <w:spacing w:before="0" w:beforeAutospacing="1" w:after="0" w:afterAutospacing="1"/>
      <w:jc w:val="left"/>
    </w:pPr>
    <w:rPr>
      <w:kern w:val="0"/>
    </w:rPr>
  </w:style>
  <w:style w:type="paragraph" w:styleId="20">
    <w:name w:val="annotation subject"/>
    <w:basedOn w:val="13"/>
    <w:next w:val="13"/>
    <w:link w:val="41"/>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semiHidden/>
    <w:unhideWhenUsed/>
    <w:qFormat/>
    <w:uiPriority w:val="99"/>
    <w:rPr>
      <w:sz w:val="21"/>
      <w:szCs w:val="21"/>
    </w:rPr>
  </w:style>
  <w:style w:type="character" w:customStyle="1" w:styleId="25">
    <w:name w:val="标题 4 字符"/>
    <w:link w:val="5"/>
    <w:qFormat/>
    <w:uiPriority w:val="0"/>
    <w:rPr>
      <w:rFonts w:ascii="Arial" w:hAnsi="Arial" w:eastAsia="黑体" w:cs="Times New Roman"/>
      <w:b/>
      <w:bCs/>
      <w:sz w:val="28"/>
      <w:szCs w:val="28"/>
    </w:rPr>
  </w:style>
  <w:style w:type="paragraph" w:customStyle="1" w:styleId="26">
    <w:name w:val="List Paragraph1"/>
    <w:basedOn w:val="1"/>
    <w:qFormat/>
    <w:uiPriority w:val="0"/>
    <w:pPr>
      <w:spacing w:before="0" w:after="0"/>
      <w:ind w:firstLine="420"/>
    </w:pPr>
    <w:rPr>
      <w:rFonts w:ascii="Calibri" w:hAnsi="Calibri"/>
      <w:szCs w:val="22"/>
    </w:rPr>
  </w:style>
  <w:style w:type="character" w:customStyle="1" w:styleId="27">
    <w:name w:val="批注文字 字符"/>
    <w:link w:val="13"/>
    <w:semiHidden/>
    <w:qFormat/>
    <w:uiPriority w:val="99"/>
    <w:rPr>
      <w:rFonts w:ascii="Arial" w:hAnsi="Arial" w:eastAsia="宋体" w:cs="Times New Roman"/>
      <w:sz w:val="24"/>
      <w:szCs w:val="24"/>
    </w:rPr>
  </w:style>
  <w:style w:type="paragraph" w:styleId="28">
    <w:name w:val="List Paragraph"/>
    <w:basedOn w:val="1"/>
    <w:qFormat/>
    <w:uiPriority w:val="34"/>
    <w:pPr>
      <w:spacing w:before="0" w:after="0" w:line="240" w:lineRule="auto"/>
      <w:ind w:firstLine="420"/>
    </w:pPr>
    <w:rPr>
      <w:rFonts w:ascii="Calibri" w:hAnsi="Calibri"/>
      <w:sz w:val="21"/>
      <w:szCs w:val="22"/>
    </w:rPr>
  </w:style>
  <w:style w:type="paragraph" w:customStyle="1" w:styleId="29">
    <w:name w:val="列表段落1"/>
    <w:basedOn w:val="1"/>
    <w:qFormat/>
    <w:uiPriority w:val="99"/>
    <w:pPr>
      <w:ind w:firstLine="420"/>
    </w:pPr>
    <w:rPr>
      <w:rFonts w:ascii="Times New Roman" w:hAnsi="Times New Roman"/>
    </w:rPr>
  </w:style>
  <w:style w:type="character" w:customStyle="1" w:styleId="30">
    <w:name w:val="称呼 字符"/>
    <w:link w:val="14"/>
    <w:qFormat/>
    <w:uiPriority w:val="0"/>
    <w:rPr>
      <w:rFonts w:ascii="Times New Roman" w:hAnsi="Times New Roman" w:eastAsia="宋体" w:cs="Times New Roman"/>
      <w:sz w:val="24"/>
      <w:szCs w:val="20"/>
    </w:rPr>
  </w:style>
  <w:style w:type="character" w:customStyle="1" w:styleId="31">
    <w:name w:val="标题 7 字符"/>
    <w:link w:val="8"/>
    <w:qFormat/>
    <w:uiPriority w:val="0"/>
    <w:rPr>
      <w:rFonts w:ascii="Times New Roman" w:hAnsi="Times New Roman" w:eastAsia="宋体" w:cs="Times New Roman"/>
      <w:b/>
      <w:bCs/>
      <w:sz w:val="24"/>
      <w:szCs w:val="24"/>
    </w:rPr>
  </w:style>
  <w:style w:type="character" w:customStyle="1" w:styleId="32">
    <w:name w:val="标题 1 字符"/>
    <w:link w:val="2"/>
    <w:qFormat/>
    <w:uiPriority w:val="0"/>
    <w:rPr>
      <w:rFonts w:ascii="Times New Roman" w:hAnsi="Times New Roman"/>
      <w:b/>
      <w:bCs/>
      <w:kern w:val="44"/>
      <w:sz w:val="44"/>
      <w:szCs w:val="44"/>
    </w:rPr>
  </w:style>
  <w:style w:type="character" w:customStyle="1" w:styleId="33">
    <w:name w:val="页眉 字符"/>
    <w:link w:val="17"/>
    <w:qFormat/>
    <w:uiPriority w:val="99"/>
    <w:rPr>
      <w:rFonts w:ascii="Arial" w:hAnsi="Arial" w:eastAsia="宋体" w:cs="Times New Roman"/>
      <w:sz w:val="18"/>
      <w:szCs w:val="18"/>
    </w:rPr>
  </w:style>
  <w:style w:type="paragraph" w:customStyle="1" w:styleId="34">
    <w:name w:val="封面"/>
    <w:basedOn w:val="1"/>
    <w:qFormat/>
    <w:uiPriority w:val="0"/>
    <w:pPr>
      <w:adjustRightInd w:val="0"/>
      <w:spacing w:before="0" w:after="0" w:line="360" w:lineRule="atLeast"/>
      <w:ind w:firstLine="0" w:firstLineChars="0"/>
      <w:jc w:val="right"/>
      <w:textAlignment w:val="baseline"/>
    </w:pPr>
    <w:rPr>
      <w:kern w:val="0"/>
      <w:szCs w:val="20"/>
    </w:rPr>
  </w:style>
  <w:style w:type="character" w:customStyle="1" w:styleId="35">
    <w:name w:val="文档结构图 字符"/>
    <w:link w:val="12"/>
    <w:semiHidden/>
    <w:qFormat/>
    <w:uiPriority w:val="99"/>
    <w:rPr>
      <w:rFonts w:ascii="宋体" w:hAnsi="Arial" w:eastAsia="宋体" w:cs="Times New Roman"/>
      <w:sz w:val="18"/>
      <w:szCs w:val="18"/>
    </w:rPr>
  </w:style>
  <w:style w:type="character" w:customStyle="1" w:styleId="36">
    <w:name w:val="标题 6 字符"/>
    <w:link w:val="7"/>
    <w:qFormat/>
    <w:uiPriority w:val="0"/>
    <w:rPr>
      <w:rFonts w:ascii="Arial" w:hAnsi="Arial" w:eastAsia="黑体" w:cs="Times New Roman"/>
      <w:b/>
      <w:bCs/>
      <w:sz w:val="24"/>
      <w:szCs w:val="24"/>
    </w:rPr>
  </w:style>
  <w:style w:type="character" w:customStyle="1" w:styleId="37">
    <w:name w:val="页脚 字符"/>
    <w:link w:val="16"/>
    <w:qFormat/>
    <w:uiPriority w:val="99"/>
    <w:rPr>
      <w:rFonts w:ascii="Arial" w:hAnsi="Arial" w:eastAsia="宋体" w:cs="Times New Roman"/>
      <w:sz w:val="18"/>
      <w:szCs w:val="18"/>
    </w:rPr>
  </w:style>
  <w:style w:type="character" w:customStyle="1" w:styleId="38">
    <w:name w:val="标题 9 字符"/>
    <w:link w:val="10"/>
    <w:qFormat/>
    <w:uiPriority w:val="0"/>
    <w:rPr>
      <w:rFonts w:ascii="Arial" w:hAnsi="Arial" w:eastAsia="黑体" w:cs="Times New Roman"/>
      <w:szCs w:val="21"/>
    </w:rPr>
  </w:style>
  <w:style w:type="character" w:customStyle="1" w:styleId="39">
    <w:name w:val="批注框文本 字符"/>
    <w:link w:val="15"/>
    <w:semiHidden/>
    <w:qFormat/>
    <w:uiPriority w:val="99"/>
    <w:rPr>
      <w:rFonts w:ascii="Arial" w:hAnsi="Arial" w:eastAsia="宋体" w:cs="Times New Roman"/>
      <w:sz w:val="18"/>
      <w:szCs w:val="18"/>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批注主题 字符"/>
    <w:link w:val="20"/>
    <w:semiHidden/>
    <w:qFormat/>
    <w:uiPriority w:val="99"/>
    <w:rPr>
      <w:rFonts w:ascii="Arial" w:hAnsi="Arial" w:eastAsia="宋体" w:cs="Times New Roman"/>
      <w:b/>
      <w:bCs/>
      <w:sz w:val="24"/>
      <w:szCs w:val="24"/>
    </w:rPr>
  </w:style>
  <w:style w:type="character" w:customStyle="1" w:styleId="42">
    <w:name w:val="标题 3 字符"/>
    <w:link w:val="4"/>
    <w:qFormat/>
    <w:uiPriority w:val="0"/>
    <w:rPr>
      <w:rFonts w:ascii="Times New Roman" w:hAnsi="Times New Roman" w:eastAsia="宋体" w:cs="Times New Roman"/>
      <w:b/>
      <w:bCs/>
      <w:sz w:val="32"/>
      <w:szCs w:val="32"/>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8 字符"/>
    <w:link w:val="9"/>
    <w:qFormat/>
    <w:uiPriority w:val="0"/>
    <w:rPr>
      <w:rFonts w:ascii="Arial" w:hAnsi="Arial" w:eastAsia="黑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9</Pages>
  <Words>3810</Words>
  <Characters>3983</Characters>
  <TotalTime>0</TotalTime>
  <ScaleCrop>false</ScaleCrop>
  <LinksUpToDate>false</LinksUpToDate>
  <CharactersWithSpaces>3991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2026-07-15T08:29:00Z</dcterms:created>
  <dc:creator>Data</dc:creator>
  <cp:lastModifiedBy>admin</cp:lastModifiedBy>
  <dcterms:modified xsi:type="dcterms:W3CDTF">2026-07-16T10:55:40Z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E6237CF8CE795B035BA2546A13AD10CA_42</vt:lpwstr>
  </property>
  <property fmtid="{D5CDD505-2E9C-101B-9397-08002B2CF9AE}" pid="4" name="KSOTemplateDocerSaveRecord">
    <vt:lpwstr>eyJoZGlkIjoiMmU4NDFiMjI1NmQyZmVkZjQ5YjBkNWJjZDgwYzgyN2YiLCJ1c2VySWQiOiIxNDA5MDU4NjM5In0=</vt:lpwstr>
  </property>
</Properties>
</file>