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790DBF">
      <w:pPr>
        <w:widowControl/>
        <w:jc w:val="left"/>
        <w:outlineLvl w:val="0"/>
        <w:rPr>
          <w:rFonts w:hint="eastAsia" w:ascii="仿宋" w:hAnsi="仿宋" w:eastAsia="仿宋" w:cs="仿宋"/>
          <w:b/>
          <w:sz w:val="32"/>
          <w:szCs w:val="32"/>
        </w:rPr>
      </w:pPr>
      <w:r>
        <w:rPr>
          <w:rFonts w:hint="eastAsia" w:ascii="仿宋" w:hAnsi="仿宋" w:eastAsia="仿宋" w:cs="仿宋"/>
          <w:b/>
          <w:sz w:val="32"/>
          <w:szCs w:val="32"/>
        </w:rPr>
        <w:t>技术评分表</w:t>
      </w:r>
    </w:p>
    <w:tbl>
      <w:tblPr>
        <w:tblStyle w:val="26"/>
        <w:tblW w:w="10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8"/>
        <w:gridCol w:w="1032"/>
        <w:gridCol w:w="612"/>
        <w:gridCol w:w="5753"/>
        <w:gridCol w:w="2492"/>
      </w:tblGrid>
      <w:tr w14:paraId="0D1C1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678" w:type="dxa"/>
            <w:noWrap/>
            <w:vAlign w:val="center"/>
          </w:tcPr>
          <w:p w14:paraId="538731AE">
            <w:pPr>
              <w:jc w:val="center"/>
              <w:rPr>
                <w:rFonts w:hint="eastAsia" w:ascii="仿宋" w:hAnsi="仿宋" w:eastAsia="仿宋" w:cs="仿宋"/>
                <w:b/>
                <w:bCs/>
                <w:sz w:val="20"/>
              </w:rPr>
            </w:pPr>
            <w:r>
              <w:rPr>
                <w:rFonts w:hint="eastAsia" w:ascii="仿宋" w:hAnsi="仿宋" w:eastAsia="仿宋" w:cs="仿宋"/>
                <w:b/>
                <w:bCs/>
                <w:sz w:val="20"/>
              </w:rPr>
              <w:t>评分项</w:t>
            </w:r>
          </w:p>
        </w:tc>
        <w:tc>
          <w:tcPr>
            <w:tcW w:w="1032" w:type="dxa"/>
            <w:noWrap/>
            <w:vAlign w:val="center"/>
          </w:tcPr>
          <w:p w14:paraId="0489C512">
            <w:pPr>
              <w:jc w:val="center"/>
              <w:rPr>
                <w:rFonts w:hint="eastAsia" w:ascii="仿宋" w:hAnsi="仿宋" w:eastAsia="仿宋" w:cs="仿宋"/>
                <w:b/>
                <w:bCs/>
                <w:sz w:val="20"/>
              </w:rPr>
            </w:pPr>
            <w:r>
              <w:rPr>
                <w:rFonts w:hint="eastAsia" w:ascii="仿宋" w:hAnsi="仿宋" w:eastAsia="仿宋" w:cs="仿宋"/>
                <w:b/>
                <w:bCs/>
                <w:sz w:val="20"/>
              </w:rPr>
              <w:t>细化评分项</w:t>
            </w:r>
          </w:p>
        </w:tc>
        <w:tc>
          <w:tcPr>
            <w:tcW w:w="612" w:type="dxa"/>
            <w:noWrap/>
            <w:vAlign w:val="center"/>
          </w:tcPr>
          <w:p w14:paraId="3459E362">
            <w:pPr>
              <w:jc w:val="center"/>
              <w:rPr>
                <w:rFonts w:hint="eastAsia" w:ascii="仿宋" w:hAnsi="仿宋" w:eastAsia="仿宋" w:cs="仿宋"/>
                <w:b/>
                <w:bCs/>
                <w:sz w:val="20"/>
              </w:rPr>
            </w:pPr>
            <w:r>
              <w:rPr>
                <w:rFonts w:hint="eastAsia" w:ascii="仿宋" w:hAnsi="仿宋" w:eastAsia="仿宋" w:cs="仿宋"/>
                <w:b/>
                <w:bCs/>
                <w:sz w:val="20"/>
              </w:rPr>
              <w:t>分值</w:t>
            </w:r>
          </w:p>
        </w:tc>
        <w:tc>
          <w:tcPr>
            <w:tcW w:w="5753" w:type="dxa"/>
            <w:noWrap/>
            <w:vAlign w:val="center"/>
          </w:tcPr>
          <w:p w14:paraId="77750801">
            <w:pPr>
              <w:jc w:val="center"/>
              <w:rPr>
                <w:rFonts w:hint="eastAsia" w:ascii="仿宋" w:hAnsi="仿宋" w:eastAsia="仿宋" w:cs="仿宋"/>
                <w:b/>
                <w:bCs/>
                <w:sz w:val="20"/>
              </w:rPr>
            </w:pPr>
            <w:r>
              <w:rPr>
                <w:rFonts w:hint="eastAsia" w:ascii="仿宋" w:hAnsi="仿宋" w:eastAsia="仿宋" w:cs="仿宋"/>
                <w:b/>
                <w:bCs/>
                <w:sz w:val="20"/>
              </w:rPr>
              <w:t>评分标准</w:t>
            </w:r>
          </w:p>
        </w:tc>
        <w:tc>
          <w:tcPr>
            <w:tcW w:w="2492" w:type="dxa"/>
            <w:noWrap/>
            <w:vAlign w:val="center"/>
          </w:tcPr>
          <w:p w14:paraId="5FC113A9">
            <w:pPr>
              <w:jc w:val="center"/>
              <w:rPr>
                <w:rFonts w:hint="eastAsia" w:ascii="仿宋" w:hAnsi="仿宋" w:eastAsia="仿宋" w:cs="仿宋"/>
                <w:b/>
                <w:bCs/>
                <w:sz w:val="20"/>
              </w:rPr>
            </w:pPr>
            <w:r>
              <w:rPr>
                <w:rFonts w:hint="eastAsia" w:ascii="仿宋" w:hAnsi="仿宋" w:eastAsia="仿宋" w:cs="仿宋"/>
                <w:b/>
                <w:bCs/>
                <w:sz w:val="20"/>
              </w:rPr>
              <w:t>提供的证明材料</w:t>
            </w:r>
          </w:p>
        </w:tc>
      </w:tr>
      <w:tr w14:paraId="5925C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678" w:type="dxa"/>
            <w:vMerge w:val="restart"/>
            <w:noWrap/>
            <w:vAlign w:val="center"/>
          </w:tcPr>
          <w:p w14:paraId="0A100A29">
            <w:pPr>
              <w:widowControl/>
              <w:jc w:val="center"/>
              <w:rPr>
                <w:rFonts w:hint="eastAsia" w:ascii="仿宋" w:hAnsi="仿宋" w:eastAsia="仿宋" w:cs="仿宋"/>
                <w:b/>
                <w:bCs/>
                <w:sz w:val="20"/>
              </w:rPr>
            </w:pPr>
            <w:r>
              <w:rPr>
                <w:rFonts w:hint="eastAsia" w:ascii="仿宋" w:hAnsi="仿宋" w:eastAsia="仿宋"/>
                <w:b/>
                <w:bCs/>
                <w:sz w:val="20"/>
              </w:rPr>
              <w:t>资源投入及服务保障</w:t>
            </w:r>
          </w:p>
        </w:tc>
        <w:tc>
          <w:tcPr>
            <w:tcW w:w="1032" w:type="dxa"/>
            <w:noWrap/>
            <w:vAlign w:val="center"/>
          </w:tcPr>
          <w:p w14:paraId="2462841D">
            <w:pPr>
              <w:widowControl/>
              <w:jc w:val="center"/>
              <w:rPr>
                <w:rFonts w:hint="eastAsia" w:ascii="仿宋" w:hAnsi="仿宋" w:eastAsia="仿宋" w:cs="仿宋"/>
                <w:b/>
                <w:bCs/>
                <w:sz w:val="20"/>
              </w:rPr>
            </w:pPr>
            <w:r>
              <w:rPr>
                <w:rFonts w:hint="eastAsia" w:ascii="仿宋" w:hAnsi="仿宋" w:eastAsia="仿宋"/>
                <w:b/>
                <w:bCs/>
                <w:sz w:val="20"/>
              </w:rPr>
              <w:t>团队配置</w:t>
            </w:r>
          </w:p>
        </w:tc>
        <w:tc>
          <w:tcPr>
            <w:tcW w:w="612" w:type="dxa"/>
            <w:noWrap/>
            <w:vAlign w:val="center"/>
          </w:tcPr>
          <w:p w14:paraId="72730F5E">
            <w:pPr>
              <w:jc w:val="center"/>
              <w:rPr>
                <w:rFonts w:hint="eastAsia" w:ascii="仿宋" w:hAnsi="仿宋" w:eastAsia="仿宋" w:cs="仿宋"/>
                <w:sz w:val="20"/>
                <w:lang w:eastAsia="zh-CN"/>
              </w:rPr>
            </w:pPr>
            <w:r>
              <w:rPr>
                <w:rFonts w:hint="eastAsia" w:ascii="仿宋" w:hAnsi="仿宋" w:eastAsia="仿宋"/>
                <w:sz w:val="20"/>
                <w:lang w:val="en-US" w:eastAsia="zh-CN"/>
              </w:rPr>
              <w:t>33</w:t>
            </w:r>
          </w:p>
        </w:tc>
        <w:tc>
          <w:tcPr>
            <w:tcW w:w="5753" w:type="dxa"/>
            <w:vAlign w:val="center"/>
          </w:tcPr>
          <w:p w14:paraId="02DC4157">
            <w:pPr>
              <w:numPr>
                <w:ilvl w:val="0"/>
                <w:numId w:val="0"/>
              </w:numPr>
              <w:rPr>
                <w:rFonts w:hint="eastAsia" w:ascii="仿宋" w:hAnsi="仿宋" w:eastAsia="仿宋" w:cs="仿宋"/>
                <w:sz w:val="20"/>
              </w:rPr>
            </w:pPr>
            <w:r>
              <w:rPr>
                <w:rFonts w:hint="eastAsia" w:ascii="仿宋" w:hAnsi="仿宋" w:eastAsia="仿宋" w:cs="仿宋"/>
                <w:kern w:val="2"/>
                <w:sz w:val="20"/>
                <w:lang w:val="en-US" w:eastAsia="zh-CN" w:bidi="ar-SA"/>
              </w:rPr>
              <w:t>1</w:t>
            </w:r>
            <w:r>
              <w:rPr>
                <w:rFonts w:hint="eastAsia" w:ascii="仿宋" w:hAnsi="仿宋" w:eastAsia="仿宋" w:cs="仿宋"/>
                <w:sz w:val="20"/>
              </w:rPr>
              <w:t>.项目经理：</w:t>
            </w:r>
          </w:p>
          <w:p w14:paraId="390B6CA3">
            <w:pPr>
              <w:numPr>
                <w:ilvl w:val="0"/>
                <w:numId w:val="0"/>
              </w:numPr>
              <w:rPr>
                <w:rFonts w:hint="eastAsia" w:ascii="仿宋" w:hAnsi="仿宋" w:eastAsia="仿宋" w:cs="仿宋"/>
                <w:sz w:val="20"/>
              </w:rPr>
            </w:pPr>
            <w:r>
              <w:rPr>
                <w:rFonts w:hint="eastAsia" w:ascii="仿宋" w:hAnsi="仿宋" w:eastAsia="仿宋" w:cs="仿宋"/>
                <w:sz w:val="20"/>
              </w:rPr>
              <w:t>①具备本科及以上学历，得2分；</w:t>
            </w:r>
          </w:p>
          <w:p w14:paraId="3506AD19">
            <w:pPr>
              <w:numPr>
                <w:ilvl w:val="0"/>
                <w:numId w:val="0"/>
              </w:numPr>
              <w:rPr>
                <w:rFonts w:hint="eastAsia" w:ascii="仿宋" w:hAnsi="仿宋" w:eastAsia="仿宋" w:cs="仿宋"/>
                <w:sz w:val="20"/>
              </w:rPr>
            </w:pPr>
            <w:r>
              <w:rPr>
                <w:rFonts w:hint="eastAsia" w:ascii="仿宋" w:hAnsi="仿宋" w:eastAsia="仿宋" w:cs="仿宋"/>
                <w:sz w:val="20"/>
              </w:rPr>
              <w:t>②具备10年及以上工作经验，得</w:t>
            </w:r>
            <w:r>
              <w:rPr>
                <w:rFonts w:hint="eastAsia" w:ascii="仿宋" w:hAnsi="仿宋" w:eastAsia="仿宋" w:cs="仿宋"/>
                <w:sz w:val="20"/>
                <w:lang w:val="en-US" w:eastAsia="zh-CN"/>
              </w:rPr>
              <w:t>2</w:t>
            </w:r>
            <w:r>
              <w:rPr>
                <w:rFonts w:hint="eastAsia" w:ascii="仿宋" w:hAnsi="仿宋" w:eastAsia="仿宋" w:cs="仿宋"/>
                <w:sz w:val="20"/>
              </w:rPr>
              <w:t>分；</w:t>
            </w:r>
          </w:p>
          <w:p w14:paraId="7FEB5CA0">
            <w:pPr>
              <w:numPr>
                <w:ilvl w:val="0"/>
                <w:numId w:val="0"/>
              </w:numPr>
              <w:rPr>
                <w:rFonts w:hint="default" w:ascii="仿宋" w:hAnsi="仿宋" w:eastAsia="仿宋" w:cs="仿宋"/>
                <w:sz w:val="20"/>
                <w:lang w:val="en-US" w:eastAsia="zh-CN"/>
              </w:rPr>
            </w:pPr>
            <w:r>
              <w:rPr>
                <w:rFonts w:hint="eastAsia" w:ascii="仿宋" w:hAnsi="仿宋" w:eastAsia="仿宋" w:cs="仿宋"/>
                <w:sz w:val="20"/>
                <w:lang w:val="en-US" w:eastAsia="zh-CN"/>
              </w:rPr>
              <w:t>③具备高级及以上职称或PMP认证证书，得2分；</w:t>
            </w:r>
          </w:p>
          <w:p w14:paraId="22F51C52">
            <w:pPr>
              <w:numPr>
                <w:ilvl w:val="0"/>
                <w:numId w:val="0"/>
              </w:numPr>
              <w:rPr>
                <w:rFonts w:hint="default" w:eastAsia="仿宋"/>
                <w:lang w:val="en-US" w:eastAsia="zh-CN"/>
              </w:rPr>
            </w:pPr>
            <w:r>
              <w:rPr>
                <w:rFonts w:hint="eastAsia" w:ascii="仿宋" w:hAnsi="仿宋" w:eastAsia="仿宋" w:cs="仿宋"/>
                <w:sz w:val="20"/>
                <w:lang w:val="en-US" w:eastAsia="zh-CN"/>
              </w:rPr>
              <w:t>④具备以下专业认证之一：HCIP、HCIE、ACP、ACE、CCNP、CCIE、CISP、计算机技术与软件专业技术资格（水平）考试中级及以上证书，得2分。</w:t>
            </w:r>
          </w:p>
          <w:p w14:paraId="274C3507">
            <w:pPr>
              <w:numPr>
                <w:ilvl w:val="0"/>
                <w:numId w:val="0"/>
              </w:numPr>
              <w:rPr>
                <w:rFonts w:hint="eastAsia" w:ascii="仿宋" w:hAnsi="仿宋" w:eastAsia="仿宋" w:cs="仿宋"/>
                <w:sz w:val="20"/>
              </w:rPr>
            </w:pPr>
            <w:r>
              <w:rPr>
                <w:rFonts w:hint="eastAsia" w:ascii="仿宋" w:hAnsi="仿宋" w:eastAsia="仿宋" w:cs="仿宋"/>
                <w:kern w:val="2"/>
                <w:sz w:val="20"/>
                <w:lang w:val="en-US" w:eastAsia="zh-CN" w:bidi="ar-SA"/>
              </w:rPr>
              <w:t>2.</w:t>
            </w:r>
            <w:r>
              <w:rPr>
                <w:rFonts w:hint="eastAsia" w:ascii="仿宋" w:hAnsi="仿宋" w:eastAsia="仿宋" w:cs="仿宋"/>
                <w:sz w:val="20"/>
              </w:rPr>
              <w:t>团队成员（不含项目经理）：</w:t>
            </w:r>
          </w:p>
          <w:p w14:paraId="67861828">
            <w:pPr>
              <w:rPr>
                <w:rFonts w:hint="eastAsia" w:ascii="仿宋" w:hAnsi="仿宋" w:eastAsia="仿宋" w:cs="仿宋"/>
                <w:sz w:val="20"/>
              </w:rPr>
            </w:pPr>
            <w:r>
              <w:rPr>
                <w:rFonts w:hint="eastAsia" w:ascii="仿宋" w:hAnsi="仿宋" w:eastAsia="仿宋" w:cs="仿宋"/>
                <w:sz w:val="20"/>
              </w:rPr>
              <w:t>①具备</w:t>
            </w:r>
            <w:r>
              <w:rPr>
                <w:rFonts w:hint="eastAsia" w:ascii="仿宋" w:hAnsi="仿宋" w:eastAsia="仿宋" w:cs="仿宋"/>
                <w:sz w:val="20"/>
                <w:lang w:val="en-US" w:eastAsia="zh-CN"/>
              </w:rPr>
              <w:t>本</w:t>
            </w:r>
            <w:r>
              <w:rPr>
                <w:rFonts w:hint="eastAsia" w:ascii="仿宋" w:hAnsi="仿宋" w:eastAsia="仿宋" w:cs="仿宋"/>
                <w:sz w:val="20"/>
              </w:rPr>
              <w:t>科及以上学历，每满足1人得1分，最高10分；</w:t>
            </w:r>
          </w:p>
          <w:p w14:paraId="216B035B">
            <w:pPr>
              <w:rPr>
                <w:rFonts w:hint="eastAsia" w:ascii="仿宋" w:hAnsi="仿宋" w:eastAsia="仿宋" w:cs="仿宋"/>
                <w:sz w:val="20"/>
                <w:lang w:val="en-US" w:eastAsia="zh-CN"/>
              </w:rPr>
            </w:pPr>
            <w:r>
              <w:rPr>
                <w:rFonts w:hint="eastAsia" w:ascii="仿宋" w:hAnsi="仿宋" w:eastAsia="仿宋" w:cs="仿宋"/>
                <w:sz w:val="20"/>
              </w:rPr>
              <w:t>②具备3年及以上工作经验，每满足1人得1.5分，最高15分</w:t>
            </w:r>
            <w:r>
              <w:rPr>
                <w:rFonts w:hint="eastAsia" w:ascii="仿宋" w:hAnsi="仿宋" w:eastAsia="仿宋" w:cs="仿宋"/>
                <w:sz w:val="20"/>
                <w:lang w:val="en-US" w:eastAsia="zh-CN"/>
              </w:rPr>
              <w:t>。</w:t>
            </w:r>
          </w:p>
        </w:tc>
        <w:tc>
          <w:tcPr>
            <w:tcW w:w="2492" w:type="dxa"/>
            <w:noWrap/>
            <w:vAlign w:val="center"/>
          </w:tcPr>
          <w:p w14:paraId="05169A47">
            <w:pPr>
              <w:rPr>
                <w:rFonts w:hint="eastAsia" w:ascii="仿宋" w:hAnsi="仿宋" w:eastAsia="仿宋" w:cs="仿宋"/>
                <w:kern w:val="0"/>
                <w:sz w:val="20"/>
                <w:lang w:bidi="ar"/>
              </w:rPr>
            </w:pPr>
            <w:r>
              <w:rPr>
                <w:rFonts w:hint="eastAsia" w:ascii="仿宋" w:hAnsi="仿宋" w:eastAsia="仿宋" w:cs="仿宋"/>
                <w:kern w:val="0"/>
                <w:sz w:val="20"/>
                <w:lang w:bidi="ar"/>
              </w:rPr>
              <w:t>1、提供人员清单以及有效的身份证正反面扫描件。</w:t>
            </w:r>
          </w:p>
          <w:p w14:paraId="4F293D0E">
            <w:pPr>
              <w:rPr>
                <w:rFonts w:hint="eastAsia" w:ascii="仿宋" w:hAnsi="仿宋" w:eastAsia="仿宋" w:cs="仿宋"/>
                <w:kern w:val="0"/>
                <w:sz w:val="20"/>
                <w:lang w:bidi="ar"/>
              </w:rPr>
            </w:pPr>
            <w:r>
              <w:rPr>
                <w:rFonts w:hint="eastAsia" w:ascii="仿宋" w:hAnsi="仿宋" w:eastAsia="仿宋" w:cs="仿宋"/>
                <w:kern w:val="0"/>
                <w:sz w:val="20"/>
                <w:lang w:bidi="ar"/>
              </w:rPr>
              <w:t>2、学历、资质：提供学历证明（”毕业证+学信网在线查验码“或”学信网截图+学信网在线查验码“）、对应资格证书扫描件以及提供证书网站查询截图，截图须包括查询网页地址链接或单独提供链接。证书、学历等若无法在线查验的，须提供相关说明，原件备查。</w:t>
            </w:r>
          </w:p>
          <w:p w14:paraId="7C1822D1">
            <w:pPr>
              <w:rPr>
                <w:rFonts w:hint="eastAsia" w:ascii="仿宋" w:hAnsi="仿宋" w:eastAsia="仿宋" w:cs="仿宋"/>
                <w:kern w:val="0"/>
                <w:sz w:val="20"/>
                <w:lang w:bidi="ar"/>
              </w:rPr>
            </w:pPr>
            <w:r>
              <w:rPr>
                <w:rFonts w:hint="eastAsia" w:ascii="仿宋" w:hAnsi="仿宋" w:eastAsia="仿宋" w:cs="仿宋"/>
                <w:kern w:val="0"/>
                <w:sz w:val="20"/>
                <w:lang w:bidi="ar"/>
              </w:rPr>
              <w:t>3、项目经理及团队成员劳动合同：①须提供与应答人签订的劳动合同扫描件，劳动合同在有效期内（应答时间）。②合同签字盖章页须具有双方盖章或签字，但如合同约定合同应当签字并盖章生效的，则合同应当签字并盖章，否则该合同不予认定；③若合同扫描件模糊不清，或合同签订日期、签字盖章无法辨识的，则该合同视为无效。</w:t>
            </w:r>
          </w:p>
          <w:p w14:paraId="44FC98DF">
            <w:pPr>
              <w:rPr>
                <w:rFonts w:hint="eastAsia" w:ascii="仿宋" w:hAnsi="仿宋" w:eastAsia="仿宋" w:cs="仿宋"/>
                <w:kern w:val="0"/>
                <w:sz w:val="20"/>
                <w:lang w:bidi="ar"/>
              </w:rPr>
            </w:pPr>
            <w:r>
              <w:rPr>
                <w:rFonts w:hint="eastAsia" w:ascii="仿宋" w:hAnsi="仿宋" w:eastAsia="仿宋" w:cs="仿宋"/>
                <w:kern w:val="0"/>
                <w:sz w:val="20"/>
                <w:lang w:bidi="ar"/>
              </w:rPr>
              <w:t>4、社保：项目经理需提供应答截止之日近六个月内任意连续三个月由社保局或税务部门出具的在应答方单位工作缴纳社保证明清单。</w:t>
            </w:r>
          </w:p>
          <w:p w14:paraId="2981810C">
            <w:pPr>
              <w:rPr>
                <w:rFonts w:hint="eastAsia" w:ascii="仿宋" w:hAnsi="仿宋" w:eastAsia="仿宋" w:cs="仿宋"/>
                <w:kern w:val="0"/>
                <w:sz w:val="20"/>
                <w:lang w:bidi="ar"/>
              </w:rPr>
            </w:pPr>
            <w:r>
              <w:rPr>
                <w:rFonts w:hint="eastAsia" w:ascii="仿宋" w:hAnsi="仿宋" w:eastAsia="仿宋" w:cs="仿宋"/>
                <w:kern w:val="0"/>
                <w:sz w:val="20"/>
                <w:lang w:bidi="ar"/>
              </w:rPr>
              <w:t>5、</w:t>
            </w:r>
            <w:r>
              <w:rPr>
                <w:rFonts w:hint="eastAsia" w:ascii="仿宋" w:hAnsi="仿宋" w:eastAsia="仿宋" w:cs="仿宋"/>
                <w:sz w:val="20"/>
              </w:rPr>
              <w:t>工作经验：以最高学历毕业证书时间为准</w:t>
            </w:r>
            <w:r>
              <w:rPr>
                <w:rFonts w:hint="eastAsia" w:ascii="仿宋" w:hAnsi="仿宋" w:eastAsia="仿宋" w:cs="仿宋"/>
                <w:kern w:val="0"/>
                <w:sz w:val="20"/>
                <w:lang w:bidi="ar"/>
              </w:rPr>
              <w:t>。</w:t>
            </w:r>
          </w:p>
          <w:p w14:paraId="49A2B0CE">
            <w:pPr>
              <w:pStyle w:val="25"/>
              <w:numPr>
                <w:ilvl w:val="0"/>
                <w:numId w:val="0"/>
              </w:numPr>
              <w:ind w:firstLine="0" w:firstLineChars="0"/>
              <w:rPr>
                <w:rFonts w:hint="eastAsia" w:ascii="仿宋" w:hAnsi="仿宋" w:eastAsia="仿宋" w:cs="仿宋"/>
                <w:sz w:val="20"/>
                <w:szCs w:val="20"/>
              </w:rPr>
            </w:pPr>
            <w:r>
              <w:rPr>
                <w:rFonts w:hint="eastAsia" w:ascii="仿宋" w:hAnsi="仿宋" w:eastAsia="仿宋" w:cs="仿宋"/>
                <w:color w:val="000000"/>
                <w:kern w:val="0"/>
                <w:sz w:val="20"/>
              </w:rPr>
              <w:t>说明：劳动合同、社保证明不符合要求的，视作该人员与应答人的隶属关系不成立，该人员各项均不得分。</w:t>
            </w:r>
          </w:p>
        </w:tc>
      </w:tr>
      <w:tr w14:paraId="36FC2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atLeast"/>
          <w:jc w:val="center"/>
        </w:trPr>
        <w:tc>
          <w:tcPr>
            <w:tcW w:w="678" w:type="dxa"/>
            <w:vMerge w:val="continue"/>
            <w:noWrap/>
            <w:vAlign w:val="center"/>
          </w:tcPr>
          <w:p w14:paraId="18870E57">
            <w:pPr>
              <w:widowControl/>
              <w:jc w:val="center"/>
              <w:rPr>
                <w:rFonts w:hint="eastAsia" w:ascii="仿宋" w:hAnsi="仿宋" w:eastAsia="仿宋" w:cs="仿宋"/>
                <w:b/>
                <w:bCs/>
                <w:kern w:val="0"/>
                <w:sz w:val="20"/>
              </w:rPr>
            </w:pPr>
          </w:p>
        </w:tc>
        <w:tc>
          <w:tcPr>
            <w:tcW w:w="1032" w:type="dxa"/>
            <w:noWrap/>
            <w:vAlign w:val="center"/>
          </w:tcPr>
          <w:p w14:paraId="688B7B83">
            <w:pPr>
              <w:widowControl/>
              <w:jc w:val="center"/>
              <w:rPr>
                <w:rFonts w:hint="eastAsia" w:ascii="仿宋" w:hAnsi="仿宋" w:eastAsia="仿宋"/>
                <w:b/>
                <w:bCs/>
                <w:sz w:val="20"/>
              </w:rPr>
            </w:pPr>
            <w:r>
              <w:rPr>
                <w:rFonts w:hint="eastAsia" w:ascii="仿宋" w:hAnsi="仿宋" w:eastAsia="仿宋" w:cs="Times New Roman"/>
                <w:b/>
                <w:bCs/>
                <w:sz w:val="20"/>
                <w:lang w:val="en-US" w:eastAsia="zh-CN"/>
              </w:rPr>
              <w:t>服务规范性及响应及时性</w:t>
            </w:r>
          </w:p>
        </w:tc>
        <w:tc>
          <w:tcPr>
            <w:tcW w:w="612" w:type="dxa"/>
            <w:noWrap/>
            <w:vAlign w:val="center"/>
          </w:tcPr>
          <w:p w14:paraId="55CCEF32">
            <w:pPr>
              <w:jc w:val="center"/>
              <w:rPr>
                <w:rFonts w:hint="eastAsia" w:ascii="仿宋" w:hAnsi="仿宋" w:eastAsia="仿宋"/>
                <w:sz w:val="20"/>
              </w:rPr>
            </w:pPr>
            <w:r>
              <w:rPr>
                <w:rFonts w:hint="eastAsia" w:ascii="仿宋" w:hAnsi="仿宋" w:eastAsia="仿宋" w:cs="仿宋"/>
                <w:bCs/>
                <w:kern w:val="0"/>
                <w:sz w:val="20"/>
                <w:lang w:val="en-US" w:eastAsia="zh-CN"/>
              </w:rPr>
              <w:t>3</w:t>
            </w:r>
          </w:p>
        </w:tc>
        <w:tc>
          <w:tcPr>
            <w:tcW w:w="5753" w:type="dxa"/>
            <w:vAlign w:val="center"/>
          </w:tcPr>
          <w:p w14:paraId="754ADE84">
            <w:pPr>
              <w:widowControl/>
              <w:numPr>
                <w:ilvl w:val="0"/>
                <w:numId w:val="0"/>
              </w:numPr>
              <w:rPr>
                <w:rFonts w:hint="eastAsia" w:ascii="仿宋" w:hAnsi="仿宋" w:eastAsia="仿宋" w:cs="仿宋"/>
                <w:color w:val="000000"/>
                <w:kern w:val="0"/>
                <w:sz w:val="20"/>
                <w:lang w:val="en-US" w:eastAsia="zh-CN"/>
              </w:rPr>
            </w:pPr>
            <w:r>
              <w:rPr>
                <w:rFonts w:hint="eastAsia" w:ascii="仿宋" w:hAnsi="仿宋" w:eastAsia="仿宋" w:cs="仿宋"/>
                <w:color w:val="000000"/>
                <w:kern w:val="0"/>
                <w:sz w:val="20"/>
                <w:lang w:val="en-US" w:eastAsia="zh-CN" w:bidi="ar-SA"/>
              </w:rPr>
              <w:t>1、</w:t>
            </w:r>
            <w:r>
              <w:rPr>
                <w:rFonts w:hint="eastAsia" w:ascii="仿宋" w:hAnsi="仿宋" w:eastAsia="仿宋" w:cs="仿宋"/>
                <w:color w:val="000000"/>
                <w:kern w:val="0"/>
                <w:sz w:val="20"/>
                <w:lang w:val="en-US" w:eastAsia="zh-CN"/>
              </w:rPr>
              <w:t>有详细的服务体系和明确的人员安排流程的得1分，未提供得0分。</w:t>
            </w:r>
          </w:p>
          <w:p w14:paraId="4F1D15D8">
            <w:pPr>
              <w:widowControl/>
              <w:numPr>
                <w:ilvl w:val="0"/>
                <w:numId w:val="0"/>
              </w:numPr>
              <w:rPr>
                <w:rFonts w:hint="eastAsia" w:ascii="仿宋" w:hAnsi="仿宋" w:eastAsia="仿宋" w:cs="仿宋"/>
                <w:color w:val="000000"/>
                <w:kern w:val="0"/>
                <w:sz w:val="20"/>
              </w:rPr>
            </w:pPr>
            <w:r>
              <w:rPr>
                <w:rFonts w:hint="eastAsia" w:ascii="仿宋" w:hAnsi="仿宋" w:eastAsia="仿宋" w:cs="仿宋"/>
                <w:color w:val="000000"/>
                <w:kern w:val="0"/>
                <w:sz w:val="20"/>
                <w:lang w:val="en-US" w:eastAsia="zh-CN"/>
              </w:rPr>
              <w:t>2、具有合理的服务受理、响应和处理流程机制的得1分，未提供得0分。</w:t>
            </w:r>
          </w:p>
          <w:p w14:paraId="582571D2">
            <w:pPr>
              <w:widowControl/>
              <w:numPr>
                <w:ilvl w:val="0"/>
                <w:numId w:val="0"/>
              </w:numPr>
              <w:rPr>
                <w:rFonts w:hint="eastAsia" w:ascii="仿宋" w:hAnsi="仿宋" w:eastAsia="仿宋" w:cs="仿宋"/>
                <w:color w:val="000000"/>
                <w:kern w:val="0"/>
                <w:sz w:val="20"/>
              </w:rPr>
            </w:pPr>
            <w:r>
              <w:rPr>
                <w:rFonts w:hint="eastAsia" w:ascii="仿宋" w:hAnsi="仿宋" w:eastAsia="仿宋" w:cs="仿宋"/>
                <w:color w:val="000000"/>
                <w:kern w:val="0"/>
                <w:sz w:val="20"/>
                <w:lang w:val="en-US" w:eastAsia="zh-CN"/>
              </w:rPr>
              <w:t>3、具有完善的人员调配制度和节假日响应机制的得1分，未提供得0分。</w:t>
            </w:r>
          </w:p>
        </w:tc>
        <w:tc>
          <w:tcPr>
            <w:tcW w:w="2492" w:type="dxa"/>
            <w:noWrap/>
            <w:vAlign w:val="center"/>
          </w:tcPr>
          <w:p w14:paraId="4115C5F6">
            <w:pPr>
              <w:rPr>
                <w:rFonts w:hint="eastAsia" w:ascii="仿宋" w:hAnsi="仿宋" w:eastAsia="仿宋"/>
                <w:sz w:val="20"/>
              </w:rPr>
            </w:pPr>
          </w:p>
        </w:tc>
      </w:tr>
      <w:tr w14:paraId="16089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atLeast"/>
          <w:jc w:val="center"/>
        </w:trPr>
        <w:tc>
          <w:tcPr>
            <w:tcW w:w="678" w:type="dxa"/>
            <w:vMerge w:val="continue"/>
            <w:noWrap/>
            <w:vAlign w:val="center"/>
          </w:tcPr>
          <w:p w14:paraId="3AC2FBD4">
            <w:pPr>
              <w:widowControl/>
              <w:jc w:val="center"/>
              <w:rPr>
                <w:rFonts w:hint="eastAsia" w:ascii="仿宋" w:hAnsi="仿宋" w:eastAsia="仿宋" w:cs="仿宋"/>
                <w:b/>
                <w:bCs/>
                <w:kern w:val="0"/>
                <w:sz w:val="20"/>
              </w:rPr>
            </w:pPr>
          </w:p>
        </w:tc>
        <w:tc>
          <w:tcPr>
            <w:tcW w:w="1032" w:type="dxa"/>
            <w:noWrap/>
            <w:vAlign w:val="center"/>
          </w:tcPr>
          <w:p w14:paraId="103DD170">
            <w:pPr>
              <w:widowControl/>
              <w:jc w:val="center"/>
              <w:rPr>
                <w:rFonts w:hint="eastAsia" w:ascii="仿宋" w:hAnsi="仿宋" w:eastAsia="仿宋" w:cs="仿宋"/>
                <w:b/>
                <w:bCs/>
                <w:sz w:val="20"/>
              </w:rPr>
            </w:pPr>
            <w:r>
              <w:rPr>
                <w:rFonts w:hint="eastAsia" w:ascii="仿宋" w:hAnsi="仿宋" w:eastAsia="仿宋"/>
                <w:b/>
                <w:bCs/>
                <w:sz w:val="20"/>
              </w:rPr>
              <w:t>本地支撑能力</w:t>
            </w:r>
          </w:p>
        </w:tc>
        <w:tc>
          <w:tcPr>
            <w:tcW w:w="612" w:type="dxa"/>
            <w:noWrap/>
            <w:vAlign w:val="center"/>
          </w:tcPr>
          <w:p w14:paraId="2E986126">
            <w:pPr>
              <w:jc w:val="center"/>
              <w:rPr>
                <w:rFonts w:hint="eastAsia" w:ascii="仿宋" w:hAnsi="仿宋" w:eastAsia="仿宋" w:cs="仿宋"/>
                <w:bCs/>
                <w:kern w:val="0"/>
                <w:sz w:val="20"/>
                <w:lang w:eastAsia="zh-CN"/>
              </w:rPr>
            </w:pPr>
            <w:r>
              <w:rPr>
                <w:rFonts w:hint="eastAsia" w:ascii="仿宋" w:hAnsi="仿宋" w:eastAsia="仿宋"/>
                <w:sz w:val="20"/>
                <w:lang w:val="en-US" w:eastAsia="zh-CN"/>
              </w:rPr>
              <w:t>5</w:t>
            </w:r>
          </w:p>
        </w:tc>
        <w:tc>
          <w:tcPr>
            <w:tcW w:w="5753" w:type="dxa"/>
            <w:vAlign w:val="center"/>
          </w:tcPr>
          <w:p w14:paraId="26D3AFC5">
            <w:pPr>
              <w:widowControl/>
              <w:rPr>
                <w:rFonts w:hint="eastAsia" w:ascii="仿宋" w:hAnsi="仿宋" w:eastAsia="仿宋"/>
                <w:sz w:val="20"/>
              </w:rPr>
            </w:pPr>
            <w:r>
              <w:rPr>
                <w:rFonts w:hint="eastAsia" w:ascii="仿宋" w:hAnsi="仿宋" w:eastAsia="仿宋" w:cs="仿宋"/>
                <w:color w:val="000000"/>
                <w:kern w:val="0"/>
                <w:sz w:val="20"/>
              </w:rPr>
              <w:t>在</w:t>
            </w:r>
            <w:r>
              <w:rPr>
                <w:rFonts w:hint="eastAsia" w:ascii="仿宋" w:hAnsi="仿宋" w:eastAsia="仿宋" w:cs="仿宋"/>
                <w:color w:val="000000"/>
                <w:kern w:val="0"/>
                <w:sz w:val="20"/>
                <w:highlight w:val="none"/>
                <w:lang w:val="en-US" w:eastAsia="zh-CN"/>
              </w:rPr>
              <w:t>杭州市</w:t>
            </w:r>
            <w:r>
              <w:rPr>
                <w:rFonts w:hint="eastAsia" w:ascii="仿宋" w:hAnsi="仿宋" w:eastAsia="仿宋" w:cs="仿宋"/>
                <w:color w:val="000000"/>
                <w:kern w:val="0"/>
                <w:sz w:val="20"/>
                <w:highlight w:val="none"/>
              </w:rPr>
              <w:t>设有服务点或承诺成交后30日内在</w:t>
            </w:r>
            <w:r>
              <w:rPr>
                <w:rFonts w:hint="eastAsia" w:ascii="仿宋" w:hAnsi="仿宋" w:eastAsia="仿宋" w:cs="仿宋"/>
                <w:color w:val="000000"/>
                <w:kern w:val="0"/>
                <w:sz w:val="20"/>
                <w:highlight w:val="none"/>
                <w:lang w:val="en-US" w:eastAsia="zh-CN"/>
              </w:rPr>
              <w:t>杭州市</w:t>
            </w:r>
            <w:r>
              <w:rPr>
                <w:rFonts w:hint="eastAsia" w:ascii="仿宋" w:hAnsi="仿宋" w:eastAsia="仿宋" w:cs="仿宋"/>
                <w:color w:val="000000"/>
                <w:kern w:val="0"/>
                <w:sz w:val="20"/>
                <w:highlight w:val="none"/>
              </w:rPr>
              <w:t>成立服</w:t>
            </w:r>
            <w:r>
              <w:rPr>
                <w:rFonts w:hint="eastAsia" w:ascii="仿宋" w:hAnsi="仿宋" w:eastAsia="仿宋" w:cs="仿宋"/>
                <w:color w:val="000000"/>
                <w:kern w:val="0"/>
                <w:sz w:val="20"/>
              </w:rPr>
              <w:t>务点的得</w:t>
            </w:r>
            <w:r>
              <w:rPr>
                <w:rFonts w:hint="eastAsia" w:ascii="仿宋" w:hAnsi="仿宋" w:eastAsia="仿宋" w:cs="仿宋"/>
                <w:color w:val="000000"/>
                <w:kern w:val="0"/>
                <w:sz w:val="20"/>
                <w:lang w:val="en-US" w:eastAsia="zh-CN"/>
              </w:rPr>
              <w:t>5</w:t>
            </w:r>
            <w:r>
              <w:rPr>
                <w:rFonts w:hint="eastAsia" w:ascii="仿宋" w:hAnsi="仿宋" w:eastAsia="仿宋" w:cs="仿宋"/>
                <w:color w:val="000000"/>
                <w:kern w:val="0"/>
                <w:sz w:val="20"/>
              </w:rPr>
              <w:t>分；无服务点且无相应承诺的得0分。</w:t>
            </w:r>
          </w:p>
        </w:tc>
        <w:tc>
          <w:tcPr>
            <w:tcW w:w="2492" w:type="dxa"/>
            <w:noWrap/>
            <w:vAlign w:val="center"/>
          </w:tcPr>
          <w:p w14:paraId="220ADE8D">
            <w:pPr>
              <w:rPr>
                <w:rFonts w:hint="eastAsia" w:ascii="仿宋" w:hAnsi="仿宋" w:eastAsia="仿宋"/>
                <w:sz w:val="20"/>
              </w:rPr>
            </w:pPr>
            <w:r>
              <w:rPr>
                <w:rFonts w:hint="eastAsia" w:ascii="仿宋" w:hAnsi="仿宋" w:eastAsia="仿宋"/>
                <w:sz w:val="20"/>
              </w:rPr>
              <w:t>提供营业执照或房产证明或办公场所租赁协议或承诺函。</w:t>
            </w:r>
          </w:p>
        </w:tc>
      </w:tr>
      <w:tr w14:paraId="706C7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atLeast"/>
          <w:jc w:val="center"/>
        </w:trPr>
        <w:tc>
          <w:tcPr>
            <w:tcW w:w="678" w:type="dxa"/>
            <w:vMerge w:val="continue"/>
            <w:noWrap/>
            <w:vAlign w:val="center"/>
          </w:tcPr>
          <w:p w14:paraId="7EB472F3">
            <w:pPr>
              <w:widowControl/>
              <w:jc w:val="center"/>
              <w:rPr>
                <w:rFonts w:hint="eastAsia" w:ascii="仿宋" w:hAnsi="仿宋" w:eastAsia="仿宋" w:cs="仿宋"/>
                <w:b/>
                <w:bCs/>
                <w:kern w:val="0"/>
                <w:sz w:val="20"/>
              </w:rPr>
            </w:pPr>
          </w:p>
        </w:tc>
        <w:tc>
          <w:tcPr>
            <w:tcW w:w="1032" w:type="dxa"/>
            <w:noWrap/>
            <w:vAlign w:val="center"/>
          </w:tcPr>
          <w:p w14:paraId="6C66B510">
            <w:pPr>
              <w:widowControl/>
              <w:jc w:val="center"/>
              <w:rPr>
                <w:rFonts w:hint="default" w:ascii="仿宋" w:hAnsi="仿宋" w:eastAsia="仿宋"/>
                <w:b/>
                <w:bCs/>
                <w:sz w:val="20"/>
                <w:lang w:val="en-US" w:eastAsia="zh-CN"/>
              </w:rPr>
            </w:pPr>
            <w:r>
              <w:rPr>
                <w:rFonts w:hint="eastAsia" w:ascii="仿宋" w:hAnsi="仿宋" w:eastAsia="仿宋"/>
                <w:b/>
                <w:bCs/>
                <w:sz w:val="20"/>
                <w:lang w:val="en-US" w:eastAsia="zh-CN"/>
              </w:rPr>
              <w:t>工具能力</w:t>
            </w:r>
          </w:p>
        </w:tc>
        <w:tc>
          <w:tcPr>
            <w:tcW w:w="612" w:type="dxa"/>
            <w:noWrap/>
            <w:vAlign w:val="center"/>
          </w:tcPr>
          <w:p w14:paraId="17072805">
            <w:pPr>
              <w:jc w:val="center"/>
              <w:rPr>
                <w:rFonts w:hint="default" w:ascii="仿宋" w:hAnsi="仿宋" w:eastAsia="仿宋"/>
                <w:sz w:val="20"/>
                <w:lang w:val="en-US" w:eastAsia="zh-CN"/>
              </w:rPr>
            </w:pPr>
            <w:r>
              <w:rPr>
                <w:rFonts w:hint="eastAsia" w:ascii="仿宋" w:hAnsi="仿宋" w:eastAsia="仿宋"/>
                <w:sz w:val="20"/>
                <w:lang w:val="en-US" w:eastAsia="zh-CN"/>
              </w:rPr>
              <w:t>9</w:t>
            </w:r>
          </w:p>
        </w:tc>
        <w:tc>
          <w:tcPr>
            <w:tcW w:w="5753" w:type="dxa"/>
            <w:vAlign w:val="center"/>
          </w:tcPr>
          <w:p w14:paraId="73EEFBBD">
            <w:pPr>
              <w:widowControl/>
              <w:rPr>
                <w:rFonts w:hint="eastAsia" w:ascii="仿宋" w:hAnsi="仿宋" w:eastAsia="仿宋" w:cs="仿宋"/>
                <w:color w:val="000000"/>
                <w:kern w:val="0"/>
                <w:sz w:val="20"/>
              </w:rPr>
            </w:pPr>
            <w:r>
              <w:rPr>
                <w:rFonts w:hint="eastAsia" w:ascii="仿宋" w:hAnsi="仿宋" w:eastAsia="仿宋" w:cs="仿宋"/>
                <w:color w:val="000000"/>
                <w:kern w:val="0"/>
                <w:sz w:val="20"/>
              </w:rPr>
              <w:t>提供与“人工智能”或“AI”或“大模型”或“智慧系统”或“知识系统”或“智能平台”或“数字平台”相关发明专利证书/软件产品著作权证书，每提供1个相关专利/软著得3分，满分9分。</w:t>
            </w:r>
          </w:p>
        </w:tc>
        <w:tc>
          <w:tcPr>
            <w:tcW w:w="2492" w:type="dxa"/>
            <w:noWrap/>
            <w:vAlign w:val="center"/>
          </w:tcPr>
          <w:p w14:paraId="421AD6CE">
            <w:pPr>
              <w:rPr>
                <w:rFonts w:hint="eastAsia" w:ascii="仿宋" w:hAnsi="仿宋" w:eastAsia="仿宋"/>
                <w:sz w:val="20"/>
              </w:rPr>
            </w:pPr>
            <w:r>
              <w:rPr>
                <w:rFonts w:hint="eastAsia" w:ascii="仿宋" w:hAnsi="仿宋" w:eastAsia="仿宋" w:cs="仿宋"/>
                <w:kern w:val="0"/>
                <w:sz w:val="20"/>
              </w:rPr>
              <w:t>需提供专利证书扫描件，专利应归属应答人所有，证书主体名称应与应答人一致。需提供专利查询截图，截图须包括查询网页地址链接或单独提供链接；原件备查。</w:t>
            </w:r>
          </w:p>
        </w:tc>
      </w:tr>
      <w:tr w14:paraId="4DA86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atLeast"/>
          <w:jc w:val="center"/>
        </w:trPr>
        <w:tc>
          <w:tcPr>
            <w:tcW w:w="678" w:type="dxa"/>
            <w:vMerge w:val="continue"/>
            <w:noWrap/>
            <w:vAlign w:val="center"/>
          </w:tcPr>
          <w:p w14:paraId="1CB27FF2">
            <w:pPr>
              <w:widowControl/>
              <w:jc w:val="center"/>
              <w:rPr>
                <w:rFonts w:hint="eastAsia" w:ascii="仿宋" w:hAnsi="仿宋" w:eastAsia="仿宋" w:cs="仿宋"/>
                <w:b/>
                <w:bCs/>
                <w:kern w:val="0"/>
                <w:sz w:val="20"/>
              </w:rPr>
            </w:pPr>
          </w:p>
        </w:tc>
        <w:tc>
          <w:tcPr>
            <w:tcW w:w="1032" w:type="dxa"/>
            <w:noWrap/>
            <w:vAlign w:val="center"/>
          </w:tcPr>
          <w:p w14:paraId="6B2C434E">
            <w:pPr>
              <w:widowControl/>
              <w:jc w:val="center"/>
              <w:rPr>
                <w:rFonts w:hint="eastAsia" w:ascii="仿宋" w:hAnsi="仿宋" w:eastAsia="仿宋"/>
                <w:b/>
                <w:bCs/>
                <w:sz w:val="20"/>
                <w:highlight w:val="cyan"/>
              </w:rPr>
            </w:pPr>
            <w:r>
              <w:rPr>
                <w:rFonts w:hint="eastAsia" w:ascii="仿宋" w:hAnsi="仿宋" w:eastAsia="仿宋"/>
                <w:b/>
                <w:bCs/>
                <w:sz w:val="20"/>
                <w:lang w:val="en-US" w:eastAsia="zh-CN"/>
              </w:rPr>
              <w:t>专业支撑能力</w:t>
            </w:r>
          </w:p>
        </w:tc>
        <w:tc>
          <w:tcPr>
            <w:tcW w:w="612" w:type="dxa"/>
            <w:noWrap/>
            <w:vAlign w:val="center"/>
          </w:tcPr>
          <w:p w14:paraId="57986208">
            <w:pPr>
              <w:jc w:val="center"/>
              <w:rPr>
                <w:rFonts w:hint="default" w:ascii="仿宋" w:hAnsi="仿宋" w:eastAsia="仿宋"/>
                <w:sz w:val="20"/>
                <w:highlight w:val="none"/>
                <w:lang w:val="en-US" w:eastAsia="zh-CN"/>
              </w:rPr>
            </w:pPr>
            <w:r>
              <w:rPr>
                <w:rFonts w:hint="eastAsia" w:ascii="仿宋" w:hAnsi="仿宋" w:eastAsia="仿宋"/>
                <w:sz w:val="20"/>
                <w:highlight w:val="none"/>
                <w:lang w:val="en-US" w:eastAsia="zh-CN"/>
              </w:rPr>
              <w:t>15</w:t>
            </w:r>
          </w:p>
        </w:tc>
        <w:tc>
          <w:tcPr>
            <w:tcW w:w="5753" w:type="dxa"/>
            <w:vAlign w:val="center"/>
          </w:tcPr>
          <w:p w14:paraId="0018610A">
            <w:pPr>
              <w:widowControl/>
              <w:rPr>
                <w:rFonts w:hint="eastAsia" w:ascii="仿宋" w:hAnsi="仿宋" w:eastAsia="仿宋" w:cs="仿宋"/>
                <w:color w:val="000000"/>
                <w:kern w:val="0"/>
                <w:sz w:val="20"/>
                <w:highlight w:val="none"/>
              </w:rPr>
            </w:pPr>
            <w:r>
              <w:rPr>
                <w:rFonts w:hint="eastAsia" w:ascii="仿宋" w:hAnsi="仿宋" w:eastAsia="仿宋" w:cs="仿宋"/>
                <w:color w:val="000000"/>
                <w:kern w:val="0"/>
                <w:sz w:val="20"/>
                <w:highlight w:val="none"/>
              </w:rPr>
              <w:t>针对本项目技术规范书“三、服务内容及要求”，基于大语言模型、视觉检测模型、多模态模型等核心模型技术，用于办公、智慧零售、安防、安全、工业等多个场景的产品，包括智能体MaaS平台、视觉能力平台、审计安全平台和其他同类AI产品，围绕客户业务需求提供全流程定制技术支撑服务。</w:t>
            </w:r>
          </w:p>
          <w:p w14:paraId="6600AD17">
            <w:pPr>
              <w:widowControl/>
              <w:rPr>
                <w:rFonts w:hint="eastAsia" w:ascii="仿宋" w:hAnsi="仿宋" w:eastAsia="仿宋" w:cs="仿宋"/>
                <w:color w:val="000000"/>
                <w:kern w:val="0"/>
                <w:sz w:val="20"/>
                <w:highlight w:val="none"/>
              </w:rPr>
            </w:pPr>
            <w:r>
              <w:rPr>
                <w:rFonts w:hint="eastAsia" w:ascii="仿宋" w:hAnsi="仿宋" w:eastAsia="仿宋" w:cs="仿宋"/>
                <w:color w:val="000000"/>
                <w:kern w:val="0"/>
                <w:sz w:val="20"/>
                <w:highlight w:val="none"/>
              </w:rPr>
              <w:t>提供不少于3个办公、智慧零售、安防、安全、工业等应用场景的解决方案及对应案例。单个应用场景对应提供一个解决方案及案例，解决方案内容应包括智能体专项搭建和模型调优支撑、产品适配与定制改造、数智化转型支撑、交付支撑、售后支撑5个部分，每个解决方案中，上述5个部分每满足1个部分得1分，完全满足得5分（相同应用场景不重复计分）。</w:t>
            </w:r>
          </w:p>
          <w:p w14:paraId="3055C0D8">
            <w:pPr>
              <w:widowControl/>
              <w:rPr>
                <w:rFonts w:hint="eastAsia" w:ascii="仿宋" w:hAnsi="仿宋" w:eastAsia="仿宋" w:cs="仿宋"/>
                <w:color w:val="000000"/>
                <w:kern w:val="0"/>
                <w:sz w:val="20"/>
                <w:highlight w:val="none"/>
              </w:rPr>
            </w:pPr>
            <w:r>
              <w:rPr>
                <w:rFonts w:hint="eastAsia" w:ascii="仿宋" w:hAnsi="仿宋" w:eastAsia="仿宋" w:cs="仿宋"/>
                <w:color w:val="000000"/>
                <w:kern w:val="0"/>
                <w:sz w:val="20"/>
                <w:highlight w:val="none"/>
              </w:rPr>
              <w:t>满分15分。</w:t>
            </w:r>
          </w:p>
        </w:tc>
        <w:tc>
          <w:tcPr>
            <w:tcW w:w="2492" w:type="dxa"/>
            <w:noWrap/>
            <w:vAlign w:val="center"/>
          </w:tcPr>
          <w:p w14:paraId="7FDBC3F0">
            <w:pPr>
              <w:rPr>
                <w:rFonts w:hint="eastAsia" w:ascii="仿宋" w:hAnsi="仿宋" w:eastAsia="仿宋"/>
                <w:sz w:val="20"/>
                <w:lang w:val="en-US" w:eastAsia="zh-CN"/>
              </w:rPr>
            </w:pPr>
            <w:r>
              <w:rPr>
                <w:rFonts w:hint="eastAsia" w:ascii="仿宋" w:hAnsi="仿宋" w:eastAsia="仿宋"/>
                <w:sz w:val="20"/>
              </w:rPr>
              <w:t>提供相关解决方案及对应案例</w:t>
            </w:r>
            <w:r>
              <w:rPr>
                <w:rFonts w:hint="eastAsia" w:ascii="仿宋" w:hAnsi="仿宋" w:eastAsia="仿宋"/>
                <w:sz w:val="20"/>
                <w:lang w:eastAsia="zh-CN"/>
              </w:rPr>
              <w:t>。</w:t>
            </w:r>
          </w:p>
        </w:tc>
      </w:tr>
      <w:tr w14:paraId="2E6A2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8" w:hRule="atLeast"/>
          <w:jc w:val="center"/>
        </w:trPr>
        <w:tc>
          <w:tcPr>
            <w:tcW w:w="678" w:type="dxa"/>
            <w:vMerge w:val="restart"/>
            <w:vAlign w:val="center"/>
          </w:tcPr>
          <w:p w14:paraId="62180B81">
            <w:pPr>
              <w:widowControl/>
              <w:jc w:val="center"/>
              <w:rPr>
                <w:rFonts w:hint="eastAsia" w:ascii="仿宋" w:hAnsi="仿宋" w:eastAsia="仿宋" w:cs="仿宋"/>
                <w:b/>
                <w:bCs/>
                <w:kern w:val="0"/>
                <w:sz w:val="20"/>
              </w:rPr>
            </w:pPr>
            <w:r>
              <w:rPr>
                <w:rFonts w:hint="eastAsia" w:ascii="仿宋" w:hAnsi="仿宋" w:eastAsia="仿宋"/>
                <w:b/>
                <w:bCs/>
                <w:sz w:val="20"/>
              </w:rPr>
              <w:t>技术服务方案</w:t>
            </w:r>
          </w:p>
        </w:tc>
        <w:tc>
          <w:tcPr>
            <w:tcW w:w="1032" w:type="dxa"/>
            <w:shd w:val="clear" w:color="auto" w:fill="FFFF00"/>
            <w:noWrap/>
            <w:vAlign w:val="center"/>
          </w:tcPr>
          <w:p w14:paraId="4F7E31E6">
            <w:pPr>
              <w:widowControl/>
              <w:jc w:val="center"/>
              <w:rPr>
                <w:rFonts w:hint="eastAsia" w:ascii="仿宋" w:hAnsi="仿宋" w:eastAsia="仿宋" w:cs="仿宋"/>
                <w:b/>
                <w:bCs/>
                <w:sz w:val="20"/>
              </w:rPr>
            </w:pPr>
            <w:r>
              <w:rPr>
                <w:rFonts w:hint="eastAsia" w:ascii="仿宋" w:hAnsi="仿宋" w:eastAsia="仿宋" w:cs="仿宋"/>
                <w:b/>
                <w:bCs/>
                <w:sz w:val="20"/>
                <w:lang w:val="en-US" w:eastAsia="zh-CN"/>
              </w:rPr>
              <w:t>项目理解</w:t>
            </w:r>
          </w:p>
        </w:tc>
        <w:tc>
          <w:tcPr>
            <w:tcW w:w="612" w:type="dxa"/>
            <w:noWrap/>
            <w:vAlign w:val="center"/>
          </w:tcPr>
          <w:p w14:paraId="374D1CD2">
            <w:pPr>
              <w:jc w:val="center"/>
              <w:rPr>
                <w:rFonts w:hint="eastAsia" w:ascii="仿宋" w:hAnsi="仿宋" w:eastAsia="仿宋" w:cs="仿宋"/>
                <w:bCs/>
                <w:kern w:val="0"/>
                <w:sz w:val="20"/>
              </w:rPr>
            </w:pPr>
            <w:r>
              <w:rPr>
                <w:rFonts w:hint="eastAsia" w:ascii="仿宋" w:hAnsi="仿宋" w:eastAsia="仿宋" w:cs="仿宋"/>
                <w:bCs/>
                <w:kern w:val="0"/>
                <w:sz w:val="20"/>
                <w:lang w:val="en-US" w:eastAsia="zh-CN"/>
              </w:rPr>
              <w:t>5</w:t>
            </w:r>
          </w:p>
        </w:tc>
        <w:tc>
          <w:tcPr>
            <w:tcW w:w="5753" w:type="dxa"/>
            <w:vAlign w:val="center"/>
          </w:tcPr>
          <w:p w14:paraId="24577D15">
            <w:pPr>
              <w:widowControl/>
              <w:rPr>
                <w:rFonts w:hint="eastAsia" w:ascii="仿宋" w:hAnsi="仿宋" w:eastAsia="仿宋" w:cs="仿宋"/>
                <w:color w:val="000000"/>
                <w:kern w:val="0"/>
                <w:sz w:val="20"/>
                <w:highlight w:val="none"/>
              </w:rPr>
            </w:pPr>
            <w:r>
              <w:rPr>
                <w:rFonts w:hint="eastAsia" w:ascii="仿宋" w:hAnsi="仿宋" w:eastAsia="仿宋" w:cs="仿宋"/>
                <w:color w:val="000000"/>
                <w:kern w:val="0"/>
                <w:sz w:val="20"/>
              </w:rPr>
              <w:t>根据应答单位对需求背景、行业现状、项目目标和意义的认识阐述，根据其理解深入程度、分析到位程度、与本项目的针对性打分，项目理解深刻，分析到位得(3,5]分；项目理解深度不够得(1,3]分；分析理解针对性不高得[0,1]分。</w:t>
            </w:r>
          </w:p>
        </w:tc>
        <w:tc>
          <w:tcPr>
            <w:tcW w:w="2492" w:type="dxa"/>
            <w:shd w:val="clear" w:color="000000" w:fill="auto"/>
            <w:noWrap/>
          </w:tcPr>
          <w:p w14:paraId="4B664B78">
            <w:pPr>
              <w:rPr>
                <w:rFonts w:hint="eastAsia" w:ascii="仿宋" w:hAnsi="仿宋" w:eastAsia="仿宋" w:cs="仿宋"/>
                <w:sz w:val="20"/>
              </w:rPr>
            </w:pPr>
          </w:p>
        </w:tc>
      </w:tr>
      <w:tr w14:paraId="00A66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678" w:type="dxa"/>
            <w:vMerge w:val="continue"/>
            <w:vAlign w:val="center"/>
          </w:tcPr>
          <w:p w14:paraId="0B6E7EAF">
            <w:pPr>
              <w:widowControl/>
              <w:jc w:val="center"/>
              <w:rPr>
                <w:rFonts w:hint="eastAsia" w:ascii="仿宋" w:hAnsi="仿宋" w:eastAsia="仿宋" w:cs="仿宋"/>
                <w:b/>
                <w:bCs/>
                <w:kern w:val="0"/>
                <w:sz w:val="20"/>
              </w:rPr>
            </w:pPr>
          </w:p>
        </w:tc>
        <w:tc>
          <w:tcPr>
            <w:tcW w:w="1032" w:type="dxa"/>
            <w:shd w:val="clear" w:color="auto" w:fill="FFFF00"/>
            <w:noWrap/>
            <w:vAlign w:val="center"/>
          </w:tcPr>
          <w:p w14:paraId="28FEA6EA">
            <w:pPr>
              <w:widowControl/>
              <w:jc w:val="center"/>
              <w:rPr>
                <w:rFonts w:hint="eastAsia" w:ascii="仿宋" w:hAnsi="仿宋" w:eastAsia="仿宋" w:cs="仿宋"/>
                <w:b/>
                <w:bCs/>
                <w:sz w:val="20"/>
              </w:rPr>
            </w:pPr>
            <w:r>
              <w:rPr>
                <w:rFonts w:hint="eastAsia" w:ascii="仿宋" w:hAnsi="仿宋" w:eastAsia="仿宋" w:cs="仿宋"/>
                <w:b/>
                <w:bCs/>
                <w:sz w:val="20"/>
                <w:lang w:val="en-US" w:eastAsia="zh-CN"/>
              </w:rPr>
              <w:t>整体服务方案</w:t>
            </w:r>
          </w:p>
        </w:tc>
        <w:tc>
          <w:tcPr>
            <w:tcW w:w="612" w:type="dxa"/>
            <w:noWrap/>
            <w:vAlign w:val="center"/>
          </w:tcPr>
          <w:p w14:paraId="4C562058">
            <w:pPr>
              <w:jc w:val="center"/>
              <w:rPr>
                <w:rFonts w:hint="eastAsia" w:ascii="仿宋" w:hAnsi="仿宋" w:eastAsia="仿宋" w:cs="仿宋"/>
                <w:bCs/>
                <w:kern w:val="0"/>
                <w:sz w:val="20"/>
              </w:rPr>
            </w:pPr>
            <w:r>
              <w:rPr>
                <w:rFonts w:hint="eastAsia" w:ascii="仿宋" w:hAnsi="仿宋" w:eastAsia="仿宋" w:cs="仿宋"/>
                <w:bCs/>
                <w:kern w:val="0"/>
                <w:sz w:val="20"/>
                <w:lang w:val="en-US" w:eastAsia="zh-CN"/>
              </w:rPr>
              <w:t>10</w:t>
            </w:r>
          </w:p>
        </w:tc>
        <w:tc>
          <w:tcPr>
            <w:tcW w:w="5753" w:type="dxa"/>
            <w:vAlign w:val="center"/>
          </w:tcPr>
          <w:p w14:paraId="1F23B8CC">
            <w:pPr>
              <w:widowControl/>
              <w:rPr>
                <w:rFonts w:hint="eastAsia" w:ascii="仿宋" w:hAnsi="仿宋" w:eastAsia="仿宋" w:cs="仿宋"/>
                <w:color w:val="000000"/>
                <w:kern w:val="0"/>
                <w:sz w:val="20"/>
                <w:highlight w:val="none"/>
              </w:rPr>
            </w:pPr>
            <w:r>
              <w:rPr>
                <w:rFonts w:hint="eastAsia" w:ascii="仿宋" w:hAnsi="仿宋" w:eastAsia="仿宋" w:cs="仿宋"/>
                <w:color w:val="000000"/>
                <w:kern w:val="0"/>
                <w:sz w:val="20"/>
                <w:highlight w:val="none"/>
                <w:lang w:val="en-US" w:eastAsia="zh-CN"/>
              </w:rPr>
              <w:t>整体服务方案优良，完整详实，对本项目有深入详细完整的工作计划和安排，思路清晰，方法科学，安排有序，可操作性强，能有效满足项目需求，得（7,10]分；整体服务方案基本完整，工作计划和安排基本清晰，有一定可操作性，得（4,7]分；整体服务方案一般，工作计划和安排较为简单，可操作性一般，得（2,4]分；整体服务方案简单，工作计划和安排较为粗略，可操作性欠佳得[0,2]分。</w:t>
            </w:r>
          </w:p>
        </w:tc>
        <w:tc>
          <w:tcPr>
            <w:tcW w:w="2492" w:type="dxa"/>
            <w:noWrap/>
            <w:vAlign w:val="center"/>
          </w:tcPr>
          <w:p w14:paraId="38752202">
            <w:pPr>
              <w:widowControl/>
              <w:rPr>
                <w:rFonts w:hint="eastAsia" w:ascii="仿宋" w:hAnsi="仿宋" w:eastAsia="仿宋" w:cs="仿宋"/>
                <w:kern w:val="0"/>
                <w:sz w:val="20"/>
              </w:rPr>
            </w:pPr>
          </w:p>
        </w:tc>
      </w:tr>
      <w:tr w14:paraId="77902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678" w:type="dxa"/>
            <w:vMerge w:val="continue"/>
            <w:vAlign w:val="center"/>
          </w:tcPr>
          <w:p w14:paraId="0BC4ED33">
            <w:pPr>
              <w:widowControl/>
              <w:jc w:val="center"/>
              <w:rPr>
                <w:rFonts w:hint="eastAsia" w:ascii="仿宋" w:hAnsi="仿宋" w:eastAsia="仿宋" w:cs="仿宋"/>
                <w:b/>
                <w:bCs/>
                <w:kern w:val="0"/>
                <w:sz w:val="20"/>
              </w:rPr>
            </w:pPr>
          </w:p>
        </w:tc>
        <w:tc>
          <w:tcPr>
            <w:tcW w:w="1032" w:type="dxa"/>
            <w:shd w:val="clear" w:color="auto" w:fill="FFFF00"/>
            <w:noWrap/>
            <w:vAlign w:val="center"/>
          </w:tcPr>
          <w:p w14:paraId="1CCC7B7F">
            <w:pPr>
              <w:widowControl/>
              <w:jc w:val="center"/>
              <w:rPr>
                <w:rFonts w:hint="eastAsia" w:ascii="仿宋" w:hAnsi="仿宋" w:eastAsia="仿宋" w:cs="仿宋"/>
                <w:b/>
                <w:bCs/>
                <w:sz w:val="20"/>
              </w:rPr>
            </w:pPr>
            <w:r>
              <w:rPr>
                <w:rFonts w:hint="eastAsia" w:ascii="仿宋" w:hAnsi="仿宋" w:eastAsia="仿宋" w:cs="仿宋"/>
                <w:b/>
                <w:bCs/>
                <w:sz w:val="20"/>
                <w:lang w:val="en-US" w:eastAsia="zh-CN"/>
              </w:rPr>
              <w:t>技术培训及转移</w:t>
            </w:r>
          </w:p>
        </w:tc>
        <w:tc>
          <w:tcPr>
            <w:tcW w:w="612" w:type="dxa"/>
            <w:noWrap/>
            <w:vAlign w:val="center"/>
          </w:tcPr>
          <w:p w14:paraId="6BAA7E6E">
            <w:pPr>
              <w:jc w:val="center"/>
              <w:rPr>
                <w:rFonts w:hint="eastAsia" w:ascii="仿宋" w:hAnsi="仿宋" w:eastAsia="仿宋" w:cs="仿宋"/>
                <w:bCs/>
                <w:kern w:val="0"/>
                <w:sz w:val="20"/>
              </w:rPr>
            </w:pPr>
            <w:r>
              <w:rPr>
                <w:rFonts w:hint="eastAsia" w:ascii="仿宋" w:hAnsi="仿宋" w:eastAsia="仿宋" w:cs="仿宋"/>
                <w:bCs/>
                <w:kern w:val="0"/>
                <w:sz w:val="20"/>
                <w:lang w:val="en-US" w:eastAsia="zh-CN"/>
              </w:rPr>
              <w:t>5</w:t>
            </w:r>
          </w:p>
        </w:tc>
        <w:tc>
          <w:tcPr>
            <w:tcW w:w="5753" w:type="dxa"/>
            <w:vAlign w:val="center"/>
          </w:tcPr>
          <w:p w14:paraId="06C12881">
            <w:pPr>
              <w:widowControl/>
              <w:rPr>
                <w:rFonts w:hint="eastAsia" w:ascii="仿宋" w:hAnsi="仿宋" w:eastAsia="仿宋" w:cs="仿宋"/>
                <w:color w:val="000000"/>
                <w:kern w:val="0"/>
                <w:sz w:val="20"/>
                <w:highlight w:val="none"/>
              </w:rPr>
            </w:pPr>
            <w:r>
              <w:rPr>
                <w:rFonts w:hint="eastAsia" w:ascii="仿宋" w:hAnsi="仿宋" w:eastAsia="仿宋" w:cs="仿宋"/>
                <w:color w:val="000000"/>
                <w:kern w:val="0"/>
                <w:sz w:val="20"/>
                <w:highlight w:val="none"/>
                <w:lang w:val="en-US" w:eastAsia="zh-CN"/>
              </w:rPr>
              <w:t>对本项目有周期性培训计划，培训内容适配本项目专业，培训对象覆盖相关人员，得（3,5]分；培训计划一般，内容基本适配本专业，得（1,3]分；培训计划过于简单或无计划，得[0,1]分。</w:t>
            </w:r>
          </w:p>
        </w:tc>
        <w:tc>
          <w:tcPr>
            <w:tcW w:w="2492" w:type="dxa"/>
            <w:noWrap/>
            <w:vAlign w:val="center"/>
          </w:tcPr>
          <w:p w14:paraId="3B3B9356">
            <w:pPr>
              <w:widowControl/>
              <w:rPr>
                <w:rFonts w:hint="eastAsia" w:ascii="仿宋" w:hAnsi="仿宋" w:eastAsia="仿宋" w:cs="仿宋"/>
                <w:kern w:val="0"/>
                <w:sz w:val="20"/>
              </w:rPr>
            </w:pPr>
          </w:p>
        </w:tc>
      </w:tr>
      <w:tr w14:paraId="02FD0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678" w:type="dxa"/>
            <w:vAlign w:val="center"/>
          </w:tcPr>
          <w:p w14:paraId="4513F554">
            <w:pPr>
              <w:widowControl/>
              <w:jc w:val="center"/>
              <w:rPr>
                <w:rFonts w:hint="eastAsia" w:ascii="仿宋" w:hAnsi="仿宋" w:eastAsia="仿宋" w:cs="仿宋"/>
                <w:b/>
                <w:bCs/>
                <w:kern w:val="0"/>
                <w:sz w:val="20"/>
              </w:rPr>
            </w:pPr>
            <w:r>
              <w:rPr>
                <w:rFonts w:hint="eastAsia" w:ascii="仿宋" w:hAnsi="仿宋" w:eastAsia="仿宋"/>
                <w:b/>
                <w:bCs/>
                <w:sz w:val="20"/>
              </w:rPr>
              <w:t>经验业绩</w:t>
            </w:r>
          </w:p>
        </w:tc>
        <w:tc>
          <w:tcPr>
            <w:tcW w:w="1032" w:type="dxa"/>
            <w:noWrap/>
            <w:vAlign w:val="center"/>
          </w:tcPr>
          <w:p w14:paraId="29B76D4F">
            <w:pPr>
              <w:widowControl/>
              <w:jc w:val="center"/>
              <w:rPr>
                <w:rFonts w:hint="eastAsia" w:ascii="仿宋" w:hAnsi="仿宋" w:eastAsia="仿宋" w:cs="仿宋"/>
                <w:b/>
                <w:bCs/>
                <w:sz w:val="20"/>
              </w:rPr>
            </w:pPr>
            <w:r>
              <w:rPr>
                <w:rFonts w:hint="eastAsia" w:ascii="仿宋" w:hAnsi="仿宋" w:eastAsia="仿宋"/>
                <w:b/>
                <w:bCs/>
                <w:sz w:val="20"/>
              </w:rPr>
              <w:t>经验业绩</w:t>
            </w:r>
          </w:p>
        </w:tc>
        <w:tc>
          <w:tcPr>
            <w:tcW w:w="612" w:type="dxa"/>
            <w:noWrap/>
            <w:vAlign w:val="center"/>
          </w:tcPr>
          <w:p w14:paraId="7CE948B6">
            <w:pPr>
              <w:jc w:val="center"/>
              <w:rPr>
                <w:rFonts w:hint="default" w:ascii="仿宋" w:hAnsi="仿宋" w:eastAsia="仿宋"/>
                <w:sz w:val="20"/>
                <w:lang w:val="en-US" w:eastAsia="zh-CN"/>
              </w:rPr>
            </w:pPr>
            <w:r>
              <w:rPr>
                <w:rFonts w:hint="eastAsia" w:ascii="仿宋" w:hAnsi="仿宋" w:eastAsia="仿宋"/>
                <w:sz w:val="20"/>
                <w:lang w:val="en-US" w:eastAsia="zh-CN"/>
              </w:rPr>
              <w:t>15</w:t>
            </w:r>
          </w:p>
        </w:tc>
        <w:tc>
          <w:tcPr>
            <w:tcW w:w="5753" w:type="dxa"/>
            <w:vAlign w:val="center"/>
          </w:tcPr>
          <w:p w14:paraId="050ACB5B">
            <w:pPr>
              <w:widowControl/>
              <w:rPr>
                <w:rFonts w:hint="eastAsia" w:ascii="仿宋" w:hAnsi="仿宋" w:eastAsia="仿宋" w:cs="Times New Roman"/>
                <w:sz w:val="20"/>
                <w:highlight w:val="none"/>
              </w:rPr>
            </w:pPr>
            <w:r>
              <w:rPr>
                <w:rFonts w:hint="eastAsia" w:ascii="仿宋" w:hAnsi="仿宋" w:eastAsia="仿宋" w:cs="Times New Roman"/>
                <w:sz w:val="20"/>
              </w:rPr>
              <w:t>1、2023年1月1日（以合同签订时间为准）至应答截止当日，具备</w:t>
            </w:r>
            <w:r>
              <w:rPr>
                <w:rFonts w:hint="eastAsia" w:ascii="仿宋" w:hAnsi="仿宋" w:eastAsia="仿宋" w:cs="Times New Roman"/>
                <w:sz w:val="20"/>
                <w:lang w:val="en-US" w:eastAsia="zh-CN"/>
              </w:rPr>
              <w:t>技术支撑相关</w:t>
            </w:r>
            <w:r>
              <w:rPr>
                <w:rFonts w:hint="eastAsia" w:ascii="仿宋" w:hAnsi="仿宋" w:eastAsia="仿宋" w:cs="Times New Roman"/>
                <w:sz w:val="20"/>
              </w:rPr>
              <w:t>合同案例经验（合同名称或关键条款或主要内容</w:t>
            </w:r>
            <w:r>
              <w:rPr>
                <w:rFonts w:hint="eastAsia" w:ascii="仿宋" w:hAnsi="仿宋" w:eastAsia="仿宋"/>
                <w:sz w:val="20"/>
              </w:rPr>
              <w:t>包含“人工智能”或“AI”或“大模型”或“大数据”关键字</w:t>
            </w:r>
            <w:r>
              <w:rPr>
                <w:rFonts w:hint="eastAsia" w:ascii="仿宋" w:hAnsi="仿宋" w:eastAsia="仿宋" w:cs="Times New Roman"/>
                <w:sz w:val="20"/>
              </w:rPr>
              <w:t>），</w:t>
            </w:r>
            <w:r>
              <w:rPr>
                <w:rFonts w:hint="eastAsia" w:ascii="仿宋" w:hAnsi="仿宋" w:eastAsia="仿宋" w:cs="仿宋"/>
                <w:kern w:val="0"/>
                <w:sz w:val="20"/>
                <w:lang w:bidi="ar"/>
              </w:rPr>
              <w:t>且提供合同对应的发票至少一张，合同含税金额</w:t>
            </w:r>
            <w:r>
              <w:rPr>
                <w:rFonts w:hint="eastAsia" w:ascii="仿宋" w:hAnsi="仿宋" w:eastAsia="仿宋" w:cs="仿宋"/>
                <w:kern w:val="0"/>
                <w:sz w:val="20"/>
                <w:highlight w:val="none"/>
                <w:lang w:bidi="ar"/>
              </w:rPr>
              <w:t>不小于300万元，一例得2分，最高10分。</w:t>
            </w:r>
          </w:p>
          <w:p w14:paraId="12856790">
            <w:pPr>
              <w:widowControl/>
              <w:rPr>
                <w:rFonts w:hint="eastAsia"/>
              </w:rPr>
            </w:pPr>
            <w:r>
              <w:rPr>
                <w:rFonts w:hint="eastAsia" w:ascii="仿宋" w:hAnsi="仿宋" w:eastAsia="仿宋" w:cs="Times New Roman"/>
                <w:sz w:val="20"/>
                <w:highlight w:val="none"/>
              </w:rPr>
              <w:t>2、上述有效合同金额累计达到900万，得2</w:t>
            </w:r>
            <w:bookmarkStart w:id="0" w:name="_GoBack"/>
            <w:bookmarkEnd w:id="0"/>
            <w:r>
              <w:rPr>
                <w:rFonts w:hint="eastAsia" w:ascii="仿宋" w:hAnsi="仿宋" w:eastAsia="仿宋" w:cs="Times New Roman"/>
                <w:sz w:val="20"/>
                <w:highlight w:val="none"/>
              </w:rPr>
              <w:t>分，在此基础上每增加300万加1分，本项最高得5分。</w:t>
            </w:r>
          </w:p>
        </w:tc>
        <w:tc>
          <w:tcPr>
            <w:tcW w:w="2492" w:type="dxa"/>
            <w:noWrap/>
            <w:vAlign w:val="center"/>
          </w:tcPr>
          <w:p w14:paraId="78A8E8EF">
            <w:pPr>
              <w:widowControl/>
              <w:rPr>
                <w:rFonts w:hint="eastAsia" w:ascii="仿宋" w:hAnsi="仿宋" w:eastAsia="仿宋"/>
                <w:kern w:val="0"/>
                <w:sz w:val="20"/>
                <w:highlight w:val="cyan"/>
              </w:rPr>
            </w:pPr>
            <w:r>
              <w:rPr>
                <w:rFonts w:hint="eastAsia" w:ascii="仿宋" w:hAnsi="仿宋" w:eastAsia="仿宋" w:cs="仿宋"/>
                <w:kern w:val="0"/>
                <w:sz w:val="20"/>
              </w:rPr>
              <w:t>1.合同需提供与应答人签订的合同关键页扫描件【包括但不限于合同首页、金额页（如合同未明确具体金额，另需提供结算发票扫描件）、体现合同主要内容的页、合同生效页、签字盖章页】；</w:t>
            </w:r>
            <w:r>
              <w:rPr>
                <w:rFonts w:hint="eastAsia" w:ascii="仿宋" w:hAnsi="仿宋" w:eastAsia="仿宋" w:cs="仿宋"/>
                <w:kern w:val="0"/>
                <w:sz w:val="20"/>
              </w:rPr>
              <w:br w:type="textWrapping"/>
            </w:r>
            <w:r>
              <w:rPr>
                <w:rFonts w:hint="eastAsia" w:ascii="仿宋" w:hAnsi="仿宋" w:eastAsia="仿宋" w:cs="仿宋"/>
                <w:kern w:val="0"/>
                <w:sz w:val="20"/>
              </w:rPr>
              <w:t>2.提供与该合同相对应的至少【一】张发票电子文档及发票查询结果截图，发票认定的基本要素包括：1）购买方和销售方名称须与有效合同签章的双方单位名称（含分支机构）一致；2）发票开具时间须在 20【23】年【1】月【1】日至【公告发布之日】之间，且不得早于合同生效日期；3）该发票在国家或地方税务局官网的查询结果截图，截图必须包含相关查询网页的地址栏信息。</w:t>
            </w:r>
            <w:r>
              <w:rPr>
                <w:rFonts w:hint="eastAsia" w:ascii="仿宋" w:hAnsi="仿宋" w:eastAsia="仿宋" w:cs="仿宋"/>
                <w:kern w:val="0"/>
                <w:sz w:val="20"/>
              </w:rPr>
              <w:br w:type="textWrapping"/>
            </w:r>
            <w:r>
              <w:rPr>
                <w:rFonts w:hint="eastAsia" w:ascii="仿宋" w:hAnsi="仿宋" w:eastAsia="仿宋" w:cs="仿宋"/>
                <w:kern w:val="0"/>
                <w:sz w:val="20"/>
              </w:rPr>
              <w:t>3.合同未明确具体金额的，以认定的发票累计含税金额为准；</w:t>
            </w:r>
            <w:r>
              <w:rPr>
                <w:rFonts w:hint="eastAsia" w:ascii="仿宋" w:hAnsi="仿宋" w:eastAsia="仿宋" w:cs="仿宋"/>
                <w:kern w:val="0"/>
                <w:sz w:val="20"/>
              </w:rPr>
              <w:br w:type="textWrapping"/>
            </w:r>
            <w:r>
              <w:rPr>
                <w:rFonts w:hint="eastAsia" w:ascii="仿宋" w:hAnsi="仿宋" w:eastAsia="仿宋" w:cs="仿宋"/>
                <w:kern w:val="0"/>
                <w:sz w:val="20"/>
              </w:rPr>
              <w:t>4.以合同签订时间为准。若双方签订日期不一致，则以签订时间后者为准，体现单方时间的以该时间为准。如合同另行约定合同生效之日，则以合同生效之日为准；</w:t>
            </w:r>
            <w:r>
              <w:rPr>
                <w:rFonts w:hint="eastAsia" w:ascii="仿宋" w:hAnsi="仿宋" w:eastAsia="仿宋" w:cs="仿宋"/>
                <w:kern w:val="0"/>
                <w:sz w:val="20"/>
              </w:rPr>
              <w:br w:type="textWrapping"/>
            </w:r>
            <w:r>
              <w:rPr>
                <w:rFonts w:hint="eastAsia" w:ascii="仿宋" w:hAnsi="仿宋" w:eastAsia="仿宋" w:cs="仿宋"/>
                <w:kern w:val="0"/>
                <w:sz w:val="20"/>
              </w:rPr>
              <w:t>5.合同签字盖章页须具有双方盖章或签字，但如合同约定合同应当签字并盖章生效的，则合同应当签字并盖章，否则该合同不予认定。</w:t>
            </w:r>
            <w:r>
              <w:rPr>
                <w:rFonts w:hint="eastAsia" w:ascii="仿宋" w:hAnsi="仿宋" w:eastAsia="仿宋" w:cs="仿宋"/>
                <w:kern w:val="0"/>
                <w:sz w:val="20"/>
              </w:rPr>
              <w:br w:type="textWrapping"/>
            </w:r>
            <w:r>
              <w:rPr>
                <w:rFonts w:hint="eastAsia" w:ascii="仿宋" w:hAnsi="仿宋" w:eastAsia="仿宋" w:cs="仿宋"/>
                <w:kern w:val="0"/>
                <w:sz w:val="20"/>
              </w:rPr>
              <w:t>6.若合同扫描件金额模糊不清或合同签订日期、签字盖章无法辨识的，该合同均不予认定；发票不予认定或未提供发票的对应合同不予认定。</w:t>
            </w:r>
          </w:p>
        </w:tc>
      </w:tr>
      <w:tr w14:paraId="509B6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1710" w:type="dxa"/>
            <w:gridSpan w:val="2"/>
            <w:noWrap/>
            <w:vAlign w:val="center"/>
          </w:tcPr>
          <w:p w14:paraId="400F91D0">
            <w:pPr>
              <w:jc w:val="center"/>
              <w:rPr>
                <w:rFonts w:hint="eastAsia" w:ascii="仿宋" w:hAnsi="仿宋" w:eastAsia="仿宋" w:cs="仿宋"/>
                <w:b/>
                <w:bCs/>
                <w:sz w:val="20"/>
              </w:rPr>
            </w:pPr>
            <w:r>
              <w:rPr>
                <w:rFonts w:hint="eastAsia" w:ascii="仿宋" w:hAnsi="仿宋" w:eastAsia="仿宋" w:cs="仿宋"/>
                <w:b/>
                <w:bCs/>
                <w:sz w:val="20"/>
              </w:rPr>
              <w:t>合计</w:t>
            </w:r>
          </w:p>
        </w:tc>
        <w:tc>
          <w:tcPr>
            <w:tcW w:w="612" w:type="dxa"/>
            <w:noWrap/>
            <w:vAlign w:val="center"/>
          </w:tcPr>
          <w:p w14:paraId="3059A00C">
            <w:pPr>
              <w:jc w:val="center"/>
              <w:rPr>
                <w:rFonts w:hint="eastAsia" w:ascii="仿宋" w:hAnsi="仿宋" w:eastAsia="仿宋" w:cs="仿宋"/>
                <w:b/>
                <w:bCs/>
                <w:sz w:val="20"/>
              </w:rPr>
            </w:pPr>
            <w:r>
              <w:rPr>
                <w:rFonts w:hint="eastAsia" w:ascii="仿宋" w:hAnsi="仿宋" w:eastAsia="仿宋" w:cs="仿宋"/>
                <w:b/>
                <w:bCs/>
                <w:sz w:val="20"/>
              </w:rPr>
              <w:t>100</w:t>
            </w:r>
          </w:p>
        </w:tc>
        <w:tc>
          <w:tcPr>
            <w:tcW w:w="5753" w:type="dxa"/>
            <w:noWrap/>
            <w:vAlign w:val="center"/>
          </w:tcPr>
          <w:p w14:paraId="795DC1C6">
            <w:pPr>
              <w:jc w:val="center"/>
              <w:rPr>
                <w:rFonts w:hint="eastAsia" w:ascii="仿宋" w:hAnsi="仿宋" w:eastAsia="仿宋" w:cs="仿宋"/>
                <w:b/>
                <w:bCs/>
                <w:sz w:val="20"/>
              </w:rPr>
            </w:pPr>
          </w:p>
        </w:tc>
        <w:tc>
          <w:tcPr>
            <w:tcW w:w="2492" w:type="dxa"/>
            <w:noWrap/>
            <w:vAlign w:val="center"/>
          </w:tcPr>
          <w:p w14:paraId="1CDFCBD5">
            <w:pPr>
              <w:jc w:val="center"/>
              <w:rPr>
                <w:rFonts w:hint="eastAsia" w:ascii="仿宋" w:hAnsi="仿宋" w:eastAsia="仿宋" w:cs="仿宋"/>
                <w:b/>
                <w:bCs/>
                <w:sz w:val="20"/>
              </w:rPr>
            </w:pPr>
          </w:p>
        </w:tc>
      </w:tr>
    </w:tbl>
    <w:p w14:paraId="494FF134">
      <w:pPr>
        <w:spacing w:line="360" w:lineRule="auto"/>
        <w:rPr>
          <w:rFonts w:hint="eastAsia" w:ascii="仿宋" w:hAnsi="仿宋" w:eastAsia="仿宋"/>
          <w:sz w:val="32"/>
          <w:szCs w:val="32"/>
        </w:rPr>
      </w:pPr>
    </w:p>
    <w:sectPr>
      <w:footerReference r:id="rId3" w:type="default"/>
      <w:pgSz w:w="11906" w:h="16838"/>
      <w:pgMar w:top="1134" w:right="1706" w:bottom="1134"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体">
    <w:altName w:val="仿宋"/>
    <w:panose1 w:val="00000000000000000000"/>
    <w:charset w:val="86"/>
    <w:family w:val="roma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30AE6C">
    <w:pPr>
      <w:pStyle w:val="17"/>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7</w:t>
    </w:r>
    <w:r>
      <w:rPr>
        <w:b/>
        <w:sz w:val="24"/>
        <w:szCs w:val="24"/>
      </w:rPr>
      <w:fldChar w:fldCharType="end"/>
    </w:r>
  </w:p>
  <w:p w14:paraId="0A37AD83">
    <w:pPr>
      <w:pStyle w:val="17"/>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decimal"/>
      <w:lvlText w:val="%1"/>
      <w:lvlJc w:val="left"/>
      <w:pPr>
        <w:tabs>
          <w:tab w:val="left" w:pos="432"/>
        </w:tabs>
        <w:ind w:left="432" w:hanging="432"/>
      </w:pPr>
      <w:rPr>
        <w:rFonts w:hint="eastAsia"/>
      </w:rPr>
    </w:lvl>
    <w:lvl w:ilvl="1" w:tentative="0">
      <w:start w:val="1"/>
      <w:numFmt w:val="decimal"/>
      <w:pStyle w:val="60"/>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
    <w:nsid w:val="0053208E"/>
    <w:multiLevelType w:val="multilevel"/>
    <w:tmpl w:val="0053208E"/>
    <w:lvl w:ilvl="0" w:tentative="0">
      <w:start w:val="1"/>
      <w:numFmt w:val="decimal"/>
      <w:pStyle w:val="3"/>
      <w:suff w:val="nothing"/>
      <w:lvlText w:val="%1、"/>
      <w:lvlJc w:val="left"/>
      <w:pPr>
        <w:ind w:left="0" w:firstLine="0"/>
      </w:pPr>
      <w:rPr>
        <w:rFonts w:hint="default" w:ascii="Times New Roman" w:hAnsi="Times New Roman" w:eastAsia="黑体"/>
        <w:b w:val="0"/>
        <w:i w:val="0"/>
        <w:sz w:val="28"/>
      </w:rPr>
    </w:lvl>
    <w:lvl w:ilvl="1" w:tentative="0">
      <w:start w:val="1"/>
      <w:numFmt w:val="decimal"/>
      <w:pStyle w:val="4"/>
      <w:suff w:val="nothing"/>
      <w:lvlText w:val="%1.%2"/>
      <w:lvlJc w:val="left"/>
      <w:pPr>
        <w:ind w:left="0" w:firstLine="0"/>
      </w:pPr>
      <w:rPr>
        <w:rFonts w:hint="default" w:ascii="Times New Roman" w:hAnsi="Times New Roman" w:eastAsia="黑体"/>
        <w:b w:val="0"/>
        <w:i w:val="0"/>
        <w:sz w:val="24"/>
      </w:rPr>
    </w:lvl>
    <w:lvl w:ilvl="2" w:tentative="0">
      <w:start w:val="1"/>
      <w:numFmt w:val="decimal"/>
      <w:pStyle w:val="5"/>
      <w:suff w:val="nothing"/>
      <w:lvlText w:val="%1.%2.%3"/>
      <w:lvlJc w:val="left"/>
      <w:pPr>
        <w:ind w:left="-49" w:firstLine="289"/>
      </w:pPr>
      <w:rPr>
        <w:rFonts w:hint="default" w:ascii="Times New Roman" w:hAnsi="Times New Roman" w:eastAsia="黑体"/>
        <w:sz w:val="24"/>
      </w:rPr>
    </w:lvl>
    <w:lvl w:ilvl="3" w:tentative="0">
      <w:start w:val="1"/>
      <w:numFmt w:val="decimal"/>
      <w:pStyle w:val="6"/>
      <w:suff w:val="nothing"/>
      <w:lvlText w:val="%1.%2.%3.%4"/>
      <w:lvlJc w:val="left"/>
      <w:pPr>
        <w:ind w:left="0" w:firstLine="289"/>
      </w:pPr>
      <w:rPr>
        <w:rFonts w:hint="default" w:ascii="Times New Roman" w:hAnsi="Times New Roman" w:eastAsia="黑体"/>
        <w:sz w:val="24"/>
      </w:rPr>
    </w:lvl>
    <w:lvl w:ilvl="4" w:tentative="0">
      <w:start w:val="1"/>
      <w:numFmt w:val="decimal"/>
      <w:lvlText w:val="%1.%2.%3.%4.%5"/>
      <w:lvlJc w:val="left"/>
      <w:pPr>
        <w:tabs>
          <w:tab w:val="left" w:pos="3261"/>
        </w:tabs>
        <w:ind w:left="2671" w:hanging="850"/>
      </w:pPr>
      <w:rPr>
        <w:rFonts w:hint="eastAsia"/>
      </w:rPr>
    </w:lvl>
    <w:lvl w:ilvl="5" w:tentative="0">
      <w:start w:val="1"/>
      <w:numFmt w:val="decimal"/>
      <w:lvlText w:val="%1.%2.%3.%4.%5.%6"/>
      <w:lvlJc w:val="left"/>
      <w:pPr>
        <w:tabs>
          <w:tab w:val="left" w:pos="4046"/>
        </w:tabs>
        <w:ind w:left="3380" w:hanging="1134"/>
      </w:pPr>
      <w:rPr>
        <w:rFonts w:hint="eastAsia"/>
      </w:rPr>
    </w:lvl>
    <w:lvl w:ilvl="6" w:tentative="0">
      <w:start w:val="1"/>
      <w:numFmt w:val="decimal"/>
      <w:lvlText w:val="%1.%2.%3.%4.%5.%6.%7"/>
      <w:lvlJc w:val="left"/>
      <w:pPr>
        <w:tabs>
          <w:tab w:val="left" w:pos="4471"/>
        </w:tabs>
        <w:ind w:left="3947" w:hanging="1276"/>
      </w:pPr>
      <w:rPr>
        <w:rFonts w:hint="eastAsia"/>
      </w:rPr>
    </w:lvl>
    <w:lvl w:ilvl="7" w:tentative="0">
      <w:start w:val="1"/>
      <w:numFmt w:val="decimal"/>
      <w:lvlText w:val="%1.%2.%3.%4.%5.%6.%7.%8"/>
      <w:lvlJc w:val="left"/>
      <w:pPr>
        <w:tabs>
          <w:tab w:val="left" w:pos="5256"/>
        </w:tabs>
        <w:ind w:left="4514" w:hanging="1418"/>
      </w:pPr>
      <w:rPr>
        <w:rFonts w:hint="eastAsia"/>
      </w:rPr>
    </w:lvl>
    <w:lvl w:ilvl="8" w:tentative="0">
      <w:start w:val="1"/>
      <w:numFmt w:val="decimal"/>
      <w:lvlText w:val="%1.%2.%3.%4.%5.%6.%7.%8.%9"/>
      <w:lvlJc w:val="left"/>
      <w:pPr>
        <w:tabs>
          <w:tab w:val="left" w:pos="6042"/>
        </w:tabs>
        <w:ind w:left="5222"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documentProtection w:enforcement="0"/>
  <w:defaultTabStop w:val="420"/>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1A89"/>
    <w:rsid w:val="0000438C"/>
    <w:rsid w:val="0001114E"/>
    <w:rsid w:val="00047500"/>
    <w:rsid w:val="00054B96"/>
    <w:rsid w:val="00066557"/>
    <w:rsid w:val="000F17C2"/>
    <w:rsid w:val="00164CB5"/>
    <w:rsid w:val="0018255E"/>
    <w:rsid w:val="001D7990"/>
    <w:rsid w:val="00222011"/>
    <w:rsid w:val="0022350D"/>
    <w:rsid w:val="002B2CD0"/>
    <w:rsid w:val="002F7527"/>
    <w:rsid w:val="00315DC4"/>
    <w:rsid w:val="003200F2"/>
    <w:rsid w:val="00321A89"/>
    <w:rsid w:val="00333BFC"/>
    <w:rsid w:val="003853C0"/>
    <w:rsid w:val="003B735E"/>
    <w:rsid w:val="0040716D"/>
    <w:rsid w:val="004311ED"/>
    <w:rsid w:val="004811E4"/>
    <w:rsid w:val="004931EF"/>
    <w:rsid w:val="004B42C0"/>
    <w:rsid w:val="004D60FE"/>
    <w:rsid w:val="004E398D"/>
    <w:rsid w:val="004E3E5B"/>
    <w:rsid w:val="00521F1A"/>
    <w:rsid w:val="00527AF4"/>
    <w:rsid w:val="005713D9"/>
    <w:rsid w:val="005A0687"/>
    <w:rsid w:val="005A739E"/>
    <w:rsid w:val="005C036D"/>
    <w:rsid w:val="005D0DC4"/>
    <w:rsid w:val="00685503"/>
    <w:rsid w:val="00694F7D"/>
    <w:rsid w:val="006D0575"/>
    <w:rsid w:val="006E3B1E"/>
    <w:rsid w:val="006F4F79"/>
    <w:rsid w:val="00713762"/>
    <w:rsid w:val="0075510A"/>
    <w:rsid w:val="00770FE2"/>
    <w:rsid w:val="0079487F"/>
    <w:rsid w:val="007D1B30"/>
    <w:rsid w:val="007E5959"/>
    <w:rsid w:val="00805A4F"/>
    <w:rsid w:val="008570A7"/>
    <w:rsid w:val="00867E7D"/>
    <w:rsid w:val="008800CB"/>
    <w:rsid w:val="00882C4A"/>
    <w:rsid w:val="00892262"/>
    <w:rsid w:val="008C16C2"/>
    <w:rsid w:val="008D1F07"/>
    <w:rsid w:val="00916F7E"/>
    <w:rsid w:val="00942A2A"/>
    <w:rsid w:val="00967FC4"/>
    <w:rsid w:val="009C2B2C"/>
    <w:rsid w:val="009E2375"/>
    <w:rsid w:val="00A45135"/>
    <w:rsid w:val="00A550C1"/>
    <w:rsid w:val="00A85E89"/>
    <w:rsid w:val="00B02E2D"/>
    <w:rsid w:val="00B210F9"/>
    <w:rsid w:val="00B848C5"/>
    <w:rsid w:val="00C0434B"/>
    <w:rsid w:val="00C62032"/>
    <w:rsid w:val="00C84B61"/>
    <w:rsid w:val="00CD191C"/>
    <w:rsid w:val="00CD2EA2"/>
    <w:rsid w:val="00D57DDF"/>
    <w:rsid w:val="00D83B3B"/>
    <w:rsid w:val="00DB6A32"/>
    <w:rsid w:val="00DD3109"/>
    <w:rsid w:val="00E04999"/>
    <w:rsid w:val="00E11E10"/>
    <w:rsid w:val="00E21CBD"/>
    <w:rsid w:val="00EB4186"/>
    <w:rsid w:val="00EF1B8B"/>
    <w:rsid w:val="00F166E6"/>
    <w:rsid w:val="00F665DA"/>
    <w:rsid w:val="00F75ECF"/>
    <w:rsid w:val="00FA42D3"/>
    <w:rsid w:val="00FB77CD"/>
    <w:rsid w:val="00FD0025"/>
    <w:rsid w:val="00FE3949"/>
    <w:rsid w:val="01050C3C"/>
    <w:rsid w:val="021148A8"/>
    <w:rsid w:val="023F3714"/>
    <w:rsid w:val="03433F84"/>
    <w:rsid w:val="0355497F"/>
    <w:rsid w:val="03991DF6"/>
    <w:rsid w:val="03BB0C98"/>
    <w:rsid w:val="03BB642D"/>
    <w:rsid w:val="03CA1FAF"/>
    <w:rsid w:val="040816EE"/>
    <w:rsid w:val="04D91922"/>
    <w:rsid w:val="04EB042F"/>
    <w:rsid w:val="050634BB"/>
    <w:rsid w:val="05335E16"/>
    <w:rsid w:val="055B41EB"/>
    <w:rsid w:val="055F4BD0"/>
    <w:rsid w:val="05B72A07"/>
    <w:rsid w:val="060101C2"/>
    <w:rsid w:val="0624009C"/>
    <w:rsid w:val="066F433A"/>
    <w:rsid w:val="070B145B"/>
    <w:rsid w:val="07153E89"/>
    <w:rsid w:val="072705C8"/>
    <w:rsid w:val="07577FFE"/>
    <w:rsid w:val="075C73C2"/>
    <w:rsid w:val="07660F50"/>
    <w:rsid w:val="07AB1CFC"/>
    <w:rsid w:val="083D71F3"/>
    <w:rsid w:val="087A52B2"/>
    <w:rsid w:val="08843074"/>
    <w:rsid w:val="08CD3E70"/>
    <w:rsid w:val="08E83D84"/>
    <w:rsid w:val="08FA6E92"/>
    <w:rsid w:val="090369F3"/>
    <w:rsid w:val="091D7025"/>
    <w:rsid w:val="092640C2"/>
    <w:rsid w:val="092E1232"/>
    <w:rsid w:val="094874F8"/>
    <w:rsid w:val="098F195C"/>
    <w:rsid w:val="099D69AE"/>
    <w:rsid w:val="099F5C8C"/>
    <w:rsid w:val="09F4422A"/>
    <w:rsid w:val="0A02144C"/>
    <w:rsid w:val="0B41524D"/>
    <w:rsid w:val="0B431448"/>
    <w:rsid w:val="0B5A4560"/>
    <w:rsid w:val="0B923CFA"/>
    <w:rsid w:val="0BB4198C"/>
    <w:rsid w:val="0BE46B89"/>
    <w:rsid w:val="0CD2303E"/>
    <w:rsid w:val="0CFF5294"/>
    <w:rsid w:val="0D2766C4"/>
    <w:rsid w:val="0D407D87"/>
    <w:rsid w:val="0D50757B"/>
    <w:rsid w:val="0DB8731C"/>
    <w:rsid w:val="0DE07A19"/>
    <w:rsid w:val="0DF540CC"/>
    <w:rsid w:val="0DFC36AD"/>
    <w:rsid w:val="0E06452B"/>
    <w:rsid w:val="0E49365D"/>
    <w:rsid w:val="0ED91C40"/>
    <w:rsid w:val="0F5D0A30"/>
    <w:rsid w:val="0F721FDA"/>
    <w:rsid w:val="0FA91612"/>
    <w:rsid w:val="0FDF0BB3"/>
    <w:rsid w:val="103C5D95"/>
    <w:rsid w:val="11254CC9"/>
    <w:rsid w:val="11930F13"/>
    <w:rsid w:val="12541464"/>
    <w:rsid w:val="12DF3BD2"/>
    <w:rsid w:val="130B7721"/>
    <w:rsid w:val="13580607"/>
    <w:rsid w:val="137D703E"/>
    <w:rsid w:val="13C814B1"/>
    <w:rsid w:val="14301E78"/>
    <w:rsid w:val="14567EBE"/>
    <w:rsid w:val="146B333A"/>
    <w:rsid w:val="14C33176"/>
    <w:rsid w:val="14E05AD6"/>
    <w:rsid w:val="14ED01F3"/>
    <w:rsid w:val="153D4AC7"/>
    <w:rsid w:val="15E0294D"/>
    <w:rsid w:val="16470C1C"/>
    <w:rsid w:val="18117E99"/>
    <w:rsid w:val="1840063A"/>
    <w:rsid w:val="18954E2A"/>
    <w:rsid w:val="18C94A68"/>
    <w:rsid w:val="19682D4F"/>
    <w:rsid w:val="198158BA"/>
    <w:rsid w:val="19C45CAA"/>
    <w:rsid w:val="1A4563DB"/>
    <w:rsid w:val="1A631EC8"/>
    <w:rsid w:val="1A8E1B30"/>
    <w:rsid w:val="1AC64482"/>
    <w:rsid w:val="1AEC1288"/>
    <w:rsid w:val="1B1A58C1"/>
    <w:rsid w:val="1B612829"/>
    <w:rsid w:val="1BE91171"/>
    <w:rsid w:val="1C037E31"/>
    <w:rsid w:val="1C2C7020"/>
    <w:rsid w:val="1C420E24"/>
    <w:rsid w:val="1CBA4E5F"/>
    <w:rsid w:val="1CCC6940"/>
    <w:rsid w:val="1D2B41AF"/>
    <w:rsid w:val="1DA14320"/>
    <w:rsid w:val="1DBDEC5E"/>
    <w:rsid w:val="1DCF66E8"/>
    <w:rsid w:val="1DDE692B"/>
    <w:rsid w:val="1E01695C"/>
    <w:rsid w:val="1E036C62"/>
    <w:rsid w:val="1EAE09F3"/>
    <w:rsid w:val="1EDD7FFC"/>
    <w:rsid w:val="1EFF2D74"/>
    <w:rsid w:val="1FA92F69"/>
    <w:rsid w:val="1FDE0E64"/>
    <w:rsid w:val="1FFA7398"/>
    <w:rsid w:val="206C1F33"/>
    <w:rsid w:val="20745325"/>
    <w:rsid w:val="20C652B0"/>
    <w:rsid w:val="20DF30E6"/>
    <w:rsid w:val="20EF6144"/>
    <w:rsid w:val="20F070A1"/>
    <w:rsid w:val="2160548A"/>
    <w:rsid w:val="22BA5490"/>
    <w:rsid w:val="22F62969"/>
    <w:rsid w:val="22F64717"/>
    <w:rsid w:val="23776FD6"/>
    <w:rsid w:val="239F3791"/>
    <w:rsid w:val="23D073EA"/>
    <w:rsid w:val="23F2091A"/>
    <w:rsid w:val="246062EC"/>
    <w:rsid w:val="24DD5B8E"/>
    <w:rsid w:val="24E6449D"/>
    <w:rsid w:val="24F75A1C"/>
    <w:rsid w:val="25313464"/>
    <w:rsid w:val="2587082F"/>
    <w:rsid w:val="259721E1"/>
    <w:rsid w:val="2652435A"/>
    <w:rsid w:val="267F709C"/>
    <w:rsid w:val="26E620ED"/>
    <w:rsid w:val="2714160F"/>
    <w:rsid w:val="275C0E2A"/>
    <w:rsid w:val="277707E1"/>
    <w:rsid w:val="278C4733"/>
    <w:rsid w:val="27B32BD6"/>
    <w:rsid w:val="28472493"/>
    <w:rsid w:val="28A569C3"/>
    <w:rsid w:val="28FB2748"/>
    <w:rsid w:val="296B7E64"/>
    <w:rsid w:val="29AE5D4B"/>
    <w:rsid w:val="29EB5863"/>
    <w:rsid w:val="2AC670C5"/>
    <w:rsid w:val="2AE01F34"/>
    <w:rsid w:val="2AFB3BAB"/>
    <w:rsid w:val="2B2B3713"/>
    <w:rsid w:val="2B55347B"/>
    <w:rsid w:val="2B920D55"/>
    <w:rsid w:val="2C114742"/>
    <w:rsid w:val="2CDE03EA"/>
    <w:rsid w:val="2D1C2B24"/>
    <w:rsid w:val="2D477EDA"/>
    <w:rsid w:val="2DD02CED"/>
    <w:rsid w:val="2DD1025A"/>
    <w:rsid w:val="2E0C1292"/>
    <w:rsid w:val="2E3B0CA9"/>
    <w:rsid w:val="2E68250F"/>
    <w:rsid w:val="2EC102CF"/>
    <w:rsid w:val="2EDA51AB"/>
    <w:rsid w:val="2F4A27CA"/>
    <w:rsid w:val="2F6F2CEB"/>
    <w:rsid w:val="2F776BDF"/>
    <w:rsid w:val="2FAC4ADB"/>
    <w:rsid w:val="2FC324F5"/>
    <w:rsid w:val="2FD656B4"/>
    <w:rsid w:val="2FF67EF8"/>
    <w:rsid w:val="302B0468"/>
    <w:rsid w:val="304B0D10"/>
    <w:rsid w:val="30601681"/>
    <w:rsid w:val="309317F7"/>
    <w:rsid w:val="30955C68"/>
    <w:rsid w:val="30B944F1"/>
    <w:rsid w:val="30C916BD"/>
    <w:rsid w:val="3144A1DB"/>
    <w:rsid w:val="3150593A"/>
    <w:rsid w:val="32C01287"/>
    <w:rsid w:val="32D61E6F"/>
    <w:rsid w:val="336254B1"/>
    <w:rsid w:val="33AC25F0"/>
    <w:rsid w:val="33E93B89"/>
    <w:rsid w:val="3490528A"/>
    <w:rsid w:val="35093E2E"/>
    <w:rsid w:val="35170C48"/>
    <w:rsid w:val="363F76E9"/>
    <w:rsid w:val="368C2F70"/>
    <w:rsid w:val="36BE4478"/>
    <w:rsid w:val="372E37CF"/>
    <w:rsid w:val="37633FCB"/>
    <w:rsid w:val="384E6D78"/>
    <w:rsid w:val="38547ABE"/>
    <w:rsid w:val="38894E1C"/>
    <w:rsid w:val="389A5B46"/>
    <w:rsid w:val="389C1E13"/>
    <w:rsid w:val="38CF5396"/>
    <w:rsid w:val="38FD63A7"/>
    <w:rsid w:val="39050DB8"/>
    <w:rsid w:val="393022D9"/>
    <w:rsid w:val="393901BB"/>
    <w:rsid w:val="398F6612"/>
    <w:rsid w:val="39B21119"/>
    <w:rsid w:val="3A5B15D7"/>
    <w:rsid w:val="3A682D03"/>
    <w:rsid w:val="3A775CE5"/>
    <w:rsid w:val="3A7C4588"/>
    <w:rsid w:val="3AC33322"/>
    <w:rsid w:val="3AFB82B8"/>
    <w:rsid w:val="3B315089"/>
    <w:rsid w:val="3C2D0CE8"/>
    <w:rsid w:val="3C835EBA"/>
    <w:rsid w:val="3CC80A7A"/>
    <w:rsid w:val="3CEB5F4E"/>
    <w:rsid w:val="3CF3A14A"/>
    <w:rsid w:val="3D0B43C4"/>
    <w:rsid w:val="3D6EE216"/>
    <w:rsid w:val="3DB147C3"/>
    <w:rsid w:val="3DBFFE9E"/>
    <w:rsid w:val="3DFA22D6"/>
    <w:rsid w:val="3E88226F"/>
    <w:rsid w:val="3EB66B30"/>
    <w:rsid w:val="3EC417E6"/>
    <w:rsid w:val="3EFC1CAF"/>
    <w:rsid w:val="3FA23C1F"/>
    <w:rsid w:val="3FC656D4"/>
    <w:rsid w:val="3FDD2A8F"/>
    <w:rsid w:val="3FFB0A1E"/>
    <w:rsid w:val="3FFDA812"/>
    <w:rsid w:val="40750F19"/>
    <w:rsid w:val="40891257"/>
    <w:rsid w:val="409A4CBF"/>
    <w:rsid w:val="41076015"/>
    <w:rsid w:val="418C651A"/>
    <w:rsid w:val="426138DE"/>
    <w:rsid w:val="42F30B4C"/>
    <w:rsid w:val="430B03A5"/>
    <w:rsid w:val="432B3B11"/>
    <w:rsid w:val="433E3844"/>
    <w:rsid w:val="43C71A8C"/>
    <w:rsid w:val="4456346E"/>
    <w:rsid w:val="446E1F07"/>
    <w:rsid w:val="44EC47B2"/>
    <w:rsid w:val="44EF1E78"/>
    <w:rsid w:val="454676EB"/>
    <w:rsid w:val="45617CBE"/>
    <w:rsid w:val="456652D4"/>
    <w:rsid w:val="467852BF"/>
    <w:rsid w:val="46B01873"/>
    <w:rsid w:val="47283EBB"/>
    <w:rsid w:val="472D7E58"/>
    <w:rsid w:val="47794E4B"/>
    <w:rsid w:val="478A5E98"/>
    <w:rsid w:val="47FF6A97"/>
    <w:rsid w:val="481D433B"/>
    <w:rsid w:val="48240951"/>
    <w:rsid w:val="4890743F"/>
    <w:rsid w:val="491976DE"/>
    <w:rsid w:val="496B4447"/>
    <w:rsid w:val="49960B56"/>
    <w:rsid w:val="49FDD142"/>
    <w:rsid w:val="4A2149D2"/>
    <w:rsid w:val="4A2E6AA3"/>
    <w:rsid w:val="4A3459A1"/>
    <w:rsid w:val="4A4A3A61"/>
    <w:rsid w:val="4A560724"/>
    <w:rsid w:val="4A9A0FD6"/>
    <w:rsid w:val="4B8D4635"/>
    <w:rsid w:val="4B9E1376"/>
    <w:rsid w:val="4BC62629"/>
    <w:rsid w:val="4BEBA7DB"/>
    <w:rsid w:val="4BF83C8E"/>
    <w:rsid w:val="4BF929FE"/>
    <w:rsid w:val="4C7E259C"/>
    <w:rsid w:val="4C9B3AB5"/>
    <w:rsid w:val="4CF90F82"/>
    <w:rsid w:val="4D45024D"/>
    <w:rsid w:val="4DC4528E"/>
    <w:rsid w:val="4E4D7031"/>
    <w:rsid w:val="4E6FE2BE"/>
    <w:rsid w:val="4E992277"/>
    <w:rsid w:val="4EB44C0B"/>
    <w:rsid w:val="4EB96475"/>
    <w:rsid w:val="4EE5726A"/>
    <w:rsid w:val="4F4A36BE"/>
    <w:rsid w:val="4F59664B"/>
    <w:rsid w:val="4F625D9C"/>
    <w:rsid w:val="4F826147"/>
    <w:rsid w:val="4FD09304"/>
    <w:rsid w:val="4FF9C0C7"/>
    <w:rsid w:val="5038161B"/>
    <w:rsid w:val="503C7D20"/>
    <w:rsid w:val="507E08BE"/>
    <w:rsid w:val="50BF628A"/>
    <w:rsid w:val="51256043"/>
    <w:rsid w:val="512D6CA6"/>
    <w:rsid w:val="5183422E"/>
    <w:rsid w:val="518E5997"/>
    <w:rsid w:val="51A75608"/>
    <w:rsid w:val="52CB0C33"/>
    <w:rsid w:val="52E15F9A"/>
    <w:rsid w:val="52ED0DE3"/>
    <w:rsid w:val="5311062D"/>
    <w:rsid w:val="53191BD8"/>
    <w:rsid w:val="533EBA0A"/>
    <w:rsid w:val="536C2B3A"/>
    <w:rsid w:val="5397348D"/>
    <w:rsid w:val="53E2646E"/>
    <w:rsid w:val="547D1CF3"/>
    <w:rsid w:val="548B08B3"/>
    <w:rsid w:val="54F55187"/>
    <w:rsid w:val="54F86535"/>
    <w:rsid w:val="553D7EF1"/>
    <w:rsid w:val="55524CCF"/>
    <w:rsid w:val="55BC52DB"/>
    <w:rsid w:val="55C2758A"/>
    <w:rsid w:val="55E53FF3"/>
    <w:rsid w:val="55E9A4DB"/>
    <w:rsid w:val="55F970CB"/>
    <w:rsid w:val="56143219"/>
    <w:rsid w:val="562425EC"/>
    <w:rsid w:val="564162D0"/>
    <w:rsid w:val="566E1172"/>
    <w:rsid w:val="56CE635E"/>
    <w:rsid w:val="56DF0E32"/>
    <w:rsid w:val="56E878F7"/>
    <w:rsid w:val="56FD4815"/>
    <w:rsid w:val="57178AF6"/>
    <w:rsid w:val="571A35CB"/>
    <w:rsid w:val="571B5F1F"/>
    <w:rsid w:val="574C432A"/>
    <w:rsid w:val="57725959"/>
    <w:rsid w:val="57FEAAA4"/>
    <w:rsid w:val="581117EB"/>
    <w:rsid w:val="582EDB82"/>
    <w:rsid w:val="58A40D2B"/>
    <w:rsid w:val="590F4708"/>
    <w:rsid w:val="591470C9"/>
    <w:rsid w:val="59AD307A"/>
    <w:rsid w:val="59C74CE3"/>
    <w:rsid w:val="5A217302"/>
    <w:rsid w:val="5A4A360C"/>
    <w:rsid w:val="5A5A0B0C"/>
    <w:rsid w:val="5A691F78"/>
    <w:rsid w:val="5AA224B3"/>
    <w:rsid w:val="5AAE67B8"/>
    <w:rsid w:val="5ADB1DB8"/>
    <w:rsid w:val="5BA13276"/>
    <w:rsid w:val="5BBFB6F0"/>
    <w:rsid w:val="5BE2700B"/>
    <w:rsid w:val="5BEF5489"/>
    <w:rsid w:val="5BFDAE5F"/>
    <w:rsid w:val="5C9918CB"/>
    <w:rsid w:val="5CCD1511"/>
    <w:rsid w:val="5CCF4218"/>
    <w:rsid w:val="5CDB111B"/>
    <w:rsid w:val="5CDFA6F5"/>
    <w:rsid w:val="5CE2303B"/>
    <w:rsid w:val="5D102E8E"/>
    <w:rsid w:val="5D302299"/>
    <w:rsid w:val="5D7A1978"/>
    <w:rsid w:val="5DAF5613"/>
    <w:rsid w:val="5E0232A9"/>
    <w:rsid w:val="5E7339E6"/>
    <w:rsid w:val="5EAF42A5"/>
    <w:rsid w:val="5ED16751"/>
    <w:rsid w:val="5EFE343C"/>
    <w:rsid w:val="5F0B1686"/>
    <w:rsid w:val="5FCF40CD"/>
    <w:rsid w:val="5FF46743"/>
    <w:rsid w:val="60121E89"/>
    <w:rsid w:val="60430294"/>
    <w:rsid w:val="608D3EAD"/>
    <w:rsid w:val="60CA216B"/>
    <w:rsid w:val="615D57CF"/>
    <w:rsid w:val="616E4FD4"/>
    <w:rsid w:val="617565F6"/>
    <w:rsid w:val="61D46A82"/>
    <w:rsid w:val="61E51C2C"/>
    <w:rsid w:val="62456545"/>
    <w:rsid w:val="627B46FE"/>
    <w:rsid w:val="628D57F7"/>
    <w:rsid w:val="62AC2121"/>
    <w:rsid w:val="62B80AC5"/>
    <w:rsid w:val="62D6719E"/>
    <w:rsid w:val="62EC4C13"/>
    <w:rsid w:val="63666773"/>
    <w:rsid w:val="63676457"/>
    <w:rsid w:val="64283557"/>
    <w:rsid w:val="647E7AED"/>
    <w:rsid w:val="64A36AC6"/>
    <w:rsid w:val="64E16202"/>
    <w:rsid w:val="64EB27AF"/>
    <w:rsid w:val="651E0006"/>
    <w:rsid w:val="653140AA"/>
    <w:rsid w:val="66417024"/>
    <w:rsid w:val="668A09CB"/>
    <w:rsid w:val="669A52A0"/>
    <w:rsid w:val="669FAAD3"/>
    <w:rsid w:val="66BD6B7E"/>
    <w:rsid w:val="673B3A73"/>
    <w:rsid w:val="6827623E"/>
    <w:rsid w:val="68444BA9"/>
    <w:rsid w:val="6864524C"/>
    <w:rsid w:val="689720E1"/>
    <w:rsid w:val="68F121E3"/>
    <w:rsid w:val="691C1682"/>
    <w:rsid w:val="693057F4"/>
    <w:rsid w:val="697D4817"/>
    <w:rsid w:val="69846EF1"/>
    <w:rsid w:val="69A86534"/>
    <w:rsid w:val="69ED7AE8"/>
    <w:rsid w:val="69F40DAA"/>
    <w:rsid w:val="69FFBB91"/>
    <w:rsid w:val="6A18009C"/>
    <w:rsid w:val="6A4315BC"/>
    <w:rsid w:val="6A5E5483"/>
    <w:rsid w:val="6A8C42A6"/>
    <w:rsid w:val="6ACC5787"/>
    <w:rsid w:val="6B1E5B86"/>
    <w:rsid w:val="6B421874"/>
    <w:rsid w:val="6B621F16"/>
    <w:rsid w:val="6B915AF3"/>
    <w:rsid w:val="6BFF048F"/>
    <w:rsid w:val="6C411B2C"/>
    <w:rsid w:val="6C5D448C"/>
    <w:rsid w:val="6C897247"/>
    <w:rsid w:val="6C963430"/>
    <w:rsid w:val="6CA015DA"/>
    <w:rsid w:val="6CC26A8C"/>
    <w:rsid w:val="6D12171A"/>
    <w:rsid w:val="6D3FA032"/>
    <w:rsid w:val="6E667E5D"/>
    <w:rsid w:val="6EF70BC7"/>
    <w:rsid w:val="6F28515D"/>
    <w:rsid w:val="6F502086"/>
    <w:rsid w:val="6FBFB415"/>
    <w:rsid w:val="6FF2313D"/>
    <w:rsid w:val="704174B9"/>
    <w:rsid w:val="706758D9"/>
    <w:rsid w:val="71DC40A5"/>
    <w:rsid w:val="71EFEC25"/>
    <w:rsid w:val="721D6FF6"/>
    <w:rsid w:val="726F6CC7"/>
    <w:rsid w:val="728974C3"/>
    <w:rsid w:val="72AB3C71"/>
    <w:rsid w:val="72F7E8EA"/>
    <w:rsid w:val="72FEEB22"/>
    <w:rsid w:val="72FF7E3E"/>
    <w:rsid w:val="73593BFF"/>
    <w:rsid w:val="735C72C2"/>
    <w:rsid w:val="73601852"/>
    <w:rsid w:val="73885001"/>
    <w:rsid w:val="738B18DE"/>
    <w:rsid w:val="73CDE62B"/>
    <w:rsid w:val="73CFB47C"/>
    <w:rsid w:val="73F70E65"/>
    <w:rsid w:val="73F76F74"/>
    <w:rsid w:val="74626AE3"/>
    <w:rsid w:val="74850A24"/>
    <w:rsid w:val="749D4072"/>
    <w:rsid w:val="75BFFE0A"/>
    <w:rsid w:val="75D9228C"/>
    <w:rsid w:val="75E72C2C"/>
    <w:rsid w:val="761375DA"/>
    <w:rsid w:val="761F3D2D"/>
    <w:rsid w:val="76261D92"/>
    <w:rsid w:val="76427D49"/>
    <w:rsid w:val="773D42F6"/>
    <w:rsid w:val="776B0A89"/>
    <w:rsid w:val="776F3A50"/>
    <w:rsid w:val="77B51620"/>
    <w:rsid w:val="77C17223"/>
    <w:rsid w:val="77E73E1A"/>
    <w:rsid w:val="77ED62D4"/>
    <w:rsid w:val="77F66997"/>
    <w:rsid w:val="77FB65B0"/>
    <w:rsid w:val="77FE6E4C"/>
    <w:rsid w:val="781400F4"/>
    <w:rsid w:val="78E52CDF"/>
    <w:rsid w:val="79752091"/>
    <w:rsid w:val="797C2E06"/>
    <w:rsid w:val="79C36276"/>
    <w:rsid w:val="79C70F6E"/>
    <w:rsid w:val="7A4C63E8"/>
    <w:rsid w:val="7AF6CA9A"/>
    <w:rsid w:val="7B3559DB"/>
    <w:rsid w:val="7B3FCB3D"/>
    <w:rsid w:val="7B486307"/>
    <w:rsid w:val="7B4B1F33"/>
    <w:rsid w:val="7B881E48"/>
    <w:rsid w:val="7BA9C428"/>
    <w:rsid w:val="7BAF9E80"/>
    <w:rsid w:val="7BB65EF2"/>
    <w:rsid w:val="7BD65AD0"/>
    <w:rsid w:val="7BF760C0"/>
    <w:rsid w:val="7BFF60D2"/>
    <w:rsid w:val="7C3B7650"/>
    <w:rsid w:val="7C596A1E"/>
    <w:rsid w:val="7C5F3540"/>
    <w:rsid w:val="7CA8633A"/>
    <w:rsid w:val="7CCF4F32"/>
    <w:rsid w:val="7CD166D1"/>
    <w:rsid w:val="7CFBE4EF"/>
    <w:rsid w:val="7CFE3E67"/>
    <w:rsid w:val="7D136216"/>
    <w:rsid w:val="7D1868D9"/>
    <w:rsid w:val="7D470F6C"/>
    <w:rsid w:val="7D532A36"/>
    <w:rsid w:val="7D7B0E94"/>
    <w:rsid w:val="7DB67EA0"/>
    <w:rsid w:val="7DEDC328"/>
    <w:rsid w:val="7DF42489"/>
    <w:rsid w:val="7DF9D3FF"/>
    <w:rsid w:val="7E367E47"/>
    <w:rsid w:val="7E47F651"/>
    <w:rsid w:val="7E723DC7"/>
    <w:rsid w:val="7E9006F1"/>
    <w:rsid w:val="7EEFB99E"/>
    <w:rsid w:val="7EF36CA3"/>
    <w:rsid w:val="7F20732F"/>
    <w:rsid w:val="7F330B56"/>
    <w:rsid w:val="7F5A3CB1"/>
    <w:rsid w:val="7F8F7919"/>
    <w:rsid w:val="7FAFD275"/>
    <w:rsid w:val="7FB56562"/>
    <w:rsid w:val="7FBD985E"/>
    <w:rsid w:val="7FBFCB2A"/>
    <w:rsid w:val="7FCD4930"/>
    <w:rsid w:val="7FE7DCDA"/>
    <w:rsid w:val="7FFB1B4C"/>
    <w:rsid w:val="7FFD4E96"/>
    <w:rsid w:val="7FFDC3B0"/>
    <w:rsid w:val="7FFFA82C"/>
    <w:rsid w:val="8CFABFAF"/>
    <w:rsid w:val="9FB75E01"/>
    <w:rsid w:val="AFB338C7"/>
    <w:rsid w:val="AFEB8672"/>
    <w:rsid w:val="AFFBBC52"/>
    <w:rsid w:val="B76F6B2E"/>
    <w:rsid w:val="B7934221"/>
    <w:rsid w:val="B7F9A305"/>
    <w:rsid w:val="BB7677BF"/>
    <w:rsid w:val="BBDF8B3E"/>
    <w:rsid w:val="BC5C7EB9"/>
    <w:rsid w:val="BDCDA232"/>
    <w:rsid w:val="BDFA3973"/>
    <w:rsid w:val="BF78197E"/>
    <w:rsid w:val="BF7B7629"/>
    <w:rsid w:val="BFBF878A"/>
    <w:rsid w:val="BFEF5417"/>
    <w:rsid w:val="CBDDF96E"/>
    <w:rsid w:val="CEEE4186"/>
    <w:rsid w:val="CFBE93C1"/>
    <w:rsid w:val="D7E49566"/>
    <w:rsid w:val="D9FF5123"/>
    <w:rsid w:val="DD34DC90"/>
    <w:rsid w:val="DEEF6A16"/>
    <w:rsid w:val="DFDF69D6"/>
    <w:rsid w:val="DFF31D07"/>
    <w:rsid w:val="DFF73ADA"/>
    <w:rsid w:val="DFFA6BA4"/>
    <w:rsid w:val="E1777538"/>
    <w:rsid w:val="E3F4B1C7"/>
    <w:rsid w:val="E77EAC41"/>
    <w:rsid w:val="E7DFEC9A"/>
    <w:rsid w:val="E7FDBD8D"/>
    <w:rsid w:val="EBFBBF99"/>
    <w:rsid w:val="ED4BA285"/>
    <w:rsid w:val="EDF47437"/>
    <w:rsid w:val="EDFD00F0"/>
    <w:rsid w:val="EE6E08BC"/>
    <w:rsid w:val="EE7D6868"/>
    <w:rsid w:val="EF77F731"/>
    <w:rsid w:val="EF79BE03"/>
    <w:rsid w:val="EF7F80C0"/>
    <w:rsid w:val="EFCBBC1F"/>
    <w:rsid w:val="EFEB82C5"/>
    <w:rsid w:val="EFF6306F"/>
    <w:rsid w:val="EFF718B0"/>
    <w:rsid w:val="EFF9BEAE"/>
    <w:rsid w:val="EFFF920A"/>
    <w:rsid w:val="F3CB15A4"/>
    <w:rsid w:val="F3F922C9"/>
    <w:rsid w:val="F3FF6B97"/>
    <w:rsid w:val="F6D98289"/>
    <w:rsid w:val="F6DF581C"/>
    <w:rsid w:val="F77B4DAE"/>
    <w:rsid w:val="F78EF10C"/>
    <w:rsid w:val="F7CBC69B"/>
    <w:rsid w:val="F7DF880C"/>
    <w:rsid w:val="F7EF52AF"/>
    <w:rsid w:val="F7FFBE45"/>
    <w:rsid w:val="F978A6E0"/>
    <w:rsid w:val="FAF736D0"/>
    <w:rsid w:val="FBF98EDF"/>
    <w:rsid w:val="FBFF2C9C"/>
    <w:rsid w:val="FBFF7520"/>
    <w:rsid w:val="FCCEABEB"/>
    <w:rsid w:val="FDA3F08E"/>
    <w:rsid w:val="FDC3D503"/>
    <w:rsid w:val="FDCCE5D3"/>
    <w:rsid w:val="FDDBEEF4"/>
    <w:rsid w:val="FDDE344C"/>
    <w:rsid w:val="FDDF8A19"/>
    <w:rsid w:val="FEF66B3A"/>
    <w:rsid w:val="FF2F26D7"/>
    <w:rsid w:val="FF3E5C97"/>
    <w:rsid w:val="FF5D372D"/>
    <w:rsid w:val="FF5EDD9A"/>
    <w:rsid w:val="FF7FF2E1"/>
    <w:rsid w:val="FFB956C8"/>
    <w:rsid w:val="FFEFC9FC"/>
    <w:rsid w:val="FFFDE3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39"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qFormat="1" w:unhideWhenUsed="0" w:uiPriority="99"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34"/>
    <w:qFormat/>
    <w:uiPriority w:val="0"/>
    <w:pPr>
      <w:keepNext/>
      <w:keepLines/>
      <w:numPr>
        <w:ilvl w:val="0"/>
        <w:numId w:val="1"/>
      </w:numPr>
      <w:adjustRightInd w:val="0"/>
      <w:spacing w:before="120" w:after="120"/>
      <w:textAlignment w:val="baseline"/>
      <w:outlineLvl w:val="0"/>
    </w:pPr>
    <w:rPr>
      <w:rFonts w:eastAsia="黑体"/>
      <w:kern w:val="44"/>
      <w:sz w:val="28"/>
    </w:rPr>
  </w:style>
  <w:style w:type="paragraph" w:styleId="4">
    <w:name w:val="heading 2"/>
    <w:basedOn w:val="1"/>
    <w:next w:val="1"/>
    <w:link w:val="35"/>
    <w:qFormat/>
    <w:uiPriority w:val="0"/>
    <w:pPr>
      <w:keepNext/>
      <w:keepLines/>
      <w:numPr>
        <w:ilvl w:val="1"/>
        <w:numId w:val="1"/>
      </w:numPr>
      <w:adjustRightInd w:val="0"/>
      <w:spacing w:before="120" w:after="120"/>
      <w:textAlignment w:val="baseline"/>
      <w:outlineLvl w:val="1"/>
    </w:pPr>
    <w:rPr>
      <w:rFonts w:eastAsia="黑体"/>
      <w:kern w:val="0"/>
      <w:sz w:val="24"/>
    </w:rPr>
  </w:style>
  <w:style w:type="paragraph" w:styleId="5">
    <w:name w:val="heading 3"/>
    <w:basedOn w:val="1"/>
    <w:next w:val="1"/>
    <w:link w:val="36"/>
    <w:qFormat/>
    <w:uiPriority w:val="0"/>
    <w:pPr>
      <w:keepNext/>
      <w:keepLines/>
      <w:numPr>
        <w:ilvl w:val="2"/>
        <w:numId w:val="1"/>
      </w:numPr>
      <w:adjustRightInd w:val="0"/>
      <w:snapToGrid w:val="0"/>
      <w:spacing w:line="300" w:lineRule="auto"/>
      <w:textAlignment w:val="baseline"/>
      <w:outlineLvl w:val="2"/>
    </w:pPr>
    <w:rPr>
      <w:rFonts w:eastAsia="黑体"/>
      <w:kern w:val="0"/>
      <w:sz w:val="24"/>
    </w:rPr>
  </w:style>
  <w:style w:type="paragraph" w:styleId="6">
    <w:name w:val="heading 4"/>
    <w:basedOn w:val="1"/>
    <w:next w:val="1"/>
    <w:link w:val="37"/>
    <w:qFormat/>
    <w:uiPriority w:val="0"/>
    <w:pPr>
      <w:numPr>
        <w:ilvl w:val="3"/>
        <w:numId w:val="1"/>
      </w:numPr>
      <w:adjustRightInd w:val="0"/>
      <w:spacing w:line="300" w:lineRule="auto"/>
      <w:outlineLvl w:val="3"/>
    </w:pPr>
    <w:rPr>
      <w:kern w:val="28"/>
      <w:sz w:val="24"/>
    </w:rPr>
  </w:style>
  <w:style w:type="paragraph" w:styleId="7">
    <w:name w:val="heading 5"/>
    <w:basedOn w:val="1"/>
    <w:next w:val="1"/>
    <w:link w:val="38"/>
    <w:qFormat/>
    <w:uiPriority w:val="9"/>
    <w:pPr>
      <w:keepNext/>
      <w:keepLines/>
      <w:spacing w:before="280" w:after="290" w:line="376" w:lineRule="auto"/>
      <w:outlineLvl w:val="4"/>
    </w:pPr>
    <w:rPr>
      <w:b/>
      <w:bCs/>
      <w:sz w:val="28"/>
      <w:szCs w:val="28"/>
    </w:rPr>
  </w:style>
  <w:style w:type="paragraph" w:styleId="8">
    <w:name w:val="heading 6"/>
    <w:basedOn w:val="1"/>
    <w:next w:val="1"/>
    <w:link w:val="39"/>
    <w:qFormat/>
    <w:uiPriority w:val="9"/>
    <w:pPr>
      <w:keepNext/>
      <w:keepLines/>
      <w:spacing w:before="240" w:after="64" w:line="320" w:lineRule="auto"/>
      <w:outlineLvl w:val="5"/>
    </w:pPr>
    <w:rPr>
      <w:rFonts w:ascii="Cambria" w:hAnsi="Cambria"/>
      <w:b/>
      <w:bCs/>
      <w:sz w:val="24"/>
      <w:szCs w:val="24"/>
    </w:rPr>
  </w:style>
  <w:style w:type="paragraph" w:styleId="9">
    <w:name w:val="heading 7"/>
    <w:basedOn w:val="1"/>
    <w:next w:val="1"/>
    <w:link w:val="40"/>
    <w:qFormat/>
    <w:uiPriority w:val="9"/>
    <w:pPr>
      <w:keepNext/>
      <w:keepLines/>
      <w:spacing w:before="240" w:after="64" w:line="320" w:lineRule="auto"/>
      <w:outlineLvl w:val="6"/>
    </w:pPr>
    <w:rPr>
      <w:b/>
      <w:bCs/>
      <w:sz w:val="24"/>
      <w:szCs w:val="24"/>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32"/>
    <w:qFormat/>
    <w:uiPriority w:val="0"/>
    <w:pPr>
      <w:adjustRightInd w:val="0"/>
      <w:spacing w:line="600" w:lineRule="exact"/>
      <w:textAlignment w:val="baseline"/>
    </w:pPr>
    <w:rPr>
      <w:rFonts w:eastAsia="仿宋体"/>
      <w:b/>
      <w:kern w:val="0"/>
      <w:sz w:val="32"/>
    </w:rPr>
  </w:style>
  <w:style w:type="paragraph" w:styleId="10">
    <w:name w:val="Normal Indent"/>
    <w:basedOn w:val="1"/>
    <w:link w:val="41"/>
    <w:qFormat/>
    <w:uiPriority w:val="0"/>
    <w:pPr>
      <w:spacing w:line="360" w:lineRule="auto"/>
      <w:ind w:firstLine="420"/>
    </w:pPr>
    <w:rPr>
      <w:sz w:val="24"/>
      <w:szCs w:val="24"/>
    </w:rPr>
  </w:style>
  <w:style w:type="paragraph" w:styleId="11">
    <w:name w:val="Document Map"/>
    <w:basedOn w:val="1"/>
    <w:link w:val="42"/>
    <w:qFormat/>
    <w:uiPriority w:val="99"/>
    <w:rPr>
      <w:rFonts w:ascii="宋体"/>
      <w:kern w:val="0"/>
      <w:sz w:val="18"/>
      <w:szCs w:val="18"/>
    </w:rPr>
  </w:style>
  <w:style w:type="paragraph" w:styleId="12">
    <w:name w:val="annotation text"/>
    <w:basedOn w:val="1"/>
    <w:link w:val="43"/>
    <w:qFormat/>
    <w:uiPriority w:val="99"/>
    <w:pPr>
      <w:jc w:val="left"/>
    </w:pPr>
  </w:style>
  <w:style w:type="paragraph" w:styleId="13">
    <w:name w:val="Body Text Indent"/>
    <w:basedOn w:val="1"/>
    <w:link w:val="44"/>
    <w:qFormat/>
    <w:uiPriority w:val="99"/>
    <w:pPr>
      <w:spacing w:after="120"/>
      <w:ind w:left="420" w:leftChars="200"/>
    </w:pPr>
  </w:style>
  <w:style w:type="paragraph" w:styleId="14">
    <w:name w:val="Plain Text"/>
    <w:basedOn w:val="1"/>
    <w:qFormat/>
    <w:uiPriority w:val="0"/>
    <w:rPr>
      <w:rFonts w:ascii="宋体" w:hAnsi="Courier New"/>
    </w:rPr>
  </w:style>
  <w:style w:type="paragraph" w:styleId="15">
    <w:name w:val="Date"/>
    <w:basedOn w:val="1"/>
    <w:next w:val="1"/>
    <w:link w:val="45"/>
    <w:qFormat/>
    <w:uiPriority w:val="99"/>
    <w:pPr>
      <w:ind w:left="100" w:leftChars="2500"/>
    </w:pPr>
  </w:style>
  <w:style w:type="paragraph" w:styleId="16">
    <w:name w:val="Balloon Text"/>
    <w:basedOn w:val="1"/>
    <w:link w:val="46"/>
    <w:qFormat/>
    <w:uiPriority w:val="99"/>
    <w:rPr>
      <w:sz w:val="18"/>
      <w:szCs w:val="18"/>
    </w:rPr>
  </w:style>
  <w:style w:type="paragraph" w:styleId="17">
    <w:name w:val="footer"/>
    <w:basedOn w:val="1"/>
    <w:link w:val="47"/>
    <w:qFormat/>
    <w:uiPriority w:val="99"/>
    <w:pPr>
      <w:tabs>
        <w:tab w:val="center" w:pos="4153"/>
        <w:tab w:val="right" w:pos="8306"/>
      </w:tabs>
      <w:snapToGrid w:val="0"/>
      <w:jc w:val="left"/>
    </w:pPr>
    <w:rPr>
      <w:sz w:val="18"/>
      <w:szCs w:val="18"/>
    </w:rPr>
  </w:style>
  <w:style w:type="paragraph" w:styleId="18">
    <w:name w:val="header"/>
    <w:basedOn w:val="1"/>
    <w:link w:val="48"/>
    <w:qFormat/>
    <w:uiPriority w:val="99"/>
    <w:pPr>
      <w:pBdr>
        <w:bottom w:val="single" w:color="auto" w:sz="6" w:space="1"/>
      </w:pBdr>
      <w:tabs>
        <w:tab w:val="center" w:pos="4153"/>
        <w:tab w:val="right" w:pos="8306"/>
      </w:tabs>
      <w:snapToGrid w:val="0"/>
      <w:jc w:val="center"/>
    </w:pPr>
    <w:rPr>
      <w:sz w:val="18"/>
      <w:szCs w:val="18"/>
    </w:rPr>
  </w:style>
  <w:style w:type="paragraph" w:styleId="19">
    <w:name w:val="toc 6"/>
    <w:basedOn w:val="1"/>
    <w:next w:val="1"/>
    <w:qFormat/>
    <w:uiPriority w:val="39"/>
    <w:pPr>
      <w:ind w:left="1050"/>
      <w:jc w:val="left"/>
    </w:pPr>
    <w:rPr>
      <w:sz w:val="18"/>
      <w:szCs w:val="18"/>
    </w:rPr>
  </w:style>
  <w:style w:type="paragraph" w:styleId="20">
    <w:name w:val="Body Text Indent 3"/>
    <w:basedOn w:val="1"/>
    <w:link w:val="49"/>
    <w:qFormat/>
    <w:uiPriority w:val="99"/>
    <w:pPr>
      <w:spacing w:after="120"/>
      <w:ind w:left="420" w:leftChars="200"/>
    </w:pPr>
    <w:rPr>
      <w:sz w:val="16"/>
      <w:szCs w:val="16"/>
    </w:rPr>
  </w:style>
  <w:style w:type="paragraph" w:styleId="21">
    <w:name w:val="Body Text 2"/>
    <w:basedOn w:val="1"/>
    <w:qFormat/>
    <w:uiPriority w:val="99"/>
    <w:pPr>
      <w:widowControl/>
      <w:snapToGrid w:val="0"/>
      <w:spacing w:before="50" w:afterLines="50" w:line="400" w:lineRule="exact"/>
      <w:jc w:val="left"/>
    </w:pPr>
    <w:rPr>
      <w:rFonts w:ascii="宋体" w:hAnsi="宋体"/>
      <w:color w:val="000000"/>
    </w:rPr>
  </w:style>
  <w:style w:type="paragraph" w:styleId="22">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23">
    <w:name w:val="Title"/>
    <w:basedOn w:val="1"/>
    <w:next w:val="1"/>
    <w:link w:val="50"/>
    <w:qFormat/>
    <w:uiPriority w:val="10"/>
    <w:pPr>
      <w:spacing w:before="240" w:after="60"/>
      <w:jc w:val="center"/>
      <w:outlineLvl w:val="0"/>
    </w:pPr>
    <w:rPr>
      <w:rFonts w:ascii="Cambria" w:hAnsi="Cambria"/>
      <w:b/>
      <w:bCs/>
      <w:sz w:val="32"/>
      <w:szCs w:val="32"/>
    </w:rPr>
  </w:style>
  <w:style w:type="paragraph" w:styleId="24">
    <w:name w:val="annotation subject"/>
    <w:basedOn w:val="12"/>
    <w:next w:val="12"/>
    <w:link w:val="51"/>
    <w:qFormat/>
    <w:uiPriority w:val="99"/>
    <w:rPr>
      <w:b/>
      <w:bCs/>
    </w:rPr>
  </w:style>
  <w:style w:type="paragraph" w:styleId="25">
    <w:name w:val="Body Text First Indent"/>
    <w:basedOn w:val="2"/>
    <w:next w:val="19"/>
    <w:link w:val="33"/>
    <w:qFormat/>
    <w:uiPriority w:val="0"/>
    <w:pPr>
      <w:adjustRightInd/>
      <w:spacing w:after="120" w:line="240" w:lineRule="auto"/>
      <w:ind w:firstLine="420" w:firstLineChars="100"/>
      <w:textAlignment w:val="auto"/>
    </w:pPr>
    <w:rPr>
      <w:rFonts w:eastAsia="宋体"/>
      <w:b w:val="0"/>
      <w:kern w:val="2"/>
      <w:sz w:val="21"/>
      <w:szCs w:val="24"/>
    </w:rPr>
  </w:style>
  <w:style w:type="table" w:styleId="27">
    <w:name w:val="Table Grid"/>
    <w:basedOn w:val="2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basedOn w:val="28"/>
    <w:qFormat/>
    <w:uiPriority w:val="0"/>
    <w:rPr>
      <w:b/>
    </w:rPr>
  </w:style>
  <w:style w:type="character" w:styleId="30">
    <w:name w:val="Hyperlink"/>
    <w:qFormat/>
    <w:uiPriority w:val="99"/>
    <w:rPr>
      <w:color w:val="666666"/>
      <w:u w:val="none"/>
    </w:rPr>
  </w:style>
  <w:style w:type="character" w:styleId="31">
    <w:name w:val="annotation reference"/>
    <w:qFormat/>
    <w:uiPriority w:val="0"/>
    <w:rPr>
      <w:sz w:val="21"/>
      <w:szCs w:val="21"/>
    </w:rPr>
  </w:style>
  <w:style w:type="character" w:customStyle="1" w:styleId="32">
    <w:name w:val="正文文本 字符"/>
    <w:link w:val="2"/>
    <w:qFormat/>
    <w:uiPriority w:val="0"/>
    <w:rPr>
      <w:rFonts w:ascii="Times New Roman" w:hAnsi="Times New Roman" w:eastAsia="仿宋体"/>
      <w:b/>
      <w:sz w:val="32"/>
    </w:rPr>
  </w:style>
  <w:style w:type="character" w:customStyle="1" w:styleId="33">
    <w:name w:val="正文文本首行缩进 字符"/>
    <w:link w:val="25"/>
    <w:qFormat/>
    <w:uiPriority w:val="0"/>
    <w:rPr>
      <w:rFonts w:ascii="Times New Roman" w:hAnsi="Times New Roman" w:eastAsia="仿宋体"/>
      <w:kern w:val="2"/>
      <w:sz w:val="21"/>
      <w:szCs w:val="24"/>
    </w:rPr>
  </w:style>
  <w:style w:type="character" w:customStyle="1" w:styleId="34">
    <w:name w:val="标题 1 字符"/>
    <w:link w:val="3"/>
    <w:qFormat/>
    <w:uiPriority w:val="0"/>
    <w:rPr>
      <w:rFonts w:ascii="Times New Roman" w:hAnsi="Times New Roman" w:eastAsia="黑体"/>
      <w:kern w:val="44"/>
      <w:sz w:val="28"/>
    </w:rPr>
  </w:style>
  <w:style w:type="character" w:customStyle="1" w:styleId="35">
    <w:name w:val="标题 2 字符"/>
    <w:link w:val="4"/>
    <w:qFormat/>
    <w:uiPriority w:val="0"/>
    <w:rPr>
      <w:rFonts w:ascii="Times New Roman" w:hAnsi="Times New Roman" w:eastAsia="黑体"/>
      <w:sz w:val="24"/>
    </w:rPr>
  </w:style>
  <w:style w:type="character" w:customStyle="1" w:styleId="36">
    <w:name w:val="标题 3 字符"/>
    <w:link w:val="5"/>
    <w:qFormat/>
    <w:uiPriority w:val="0"/>
    <w:rPr>
      <w:rFonts w:ascii="Times New Roman" w:hAnsi="Times New Roman" w:eastAsia="黑体"/>
      <w:sz w:val="24"/>
    </w:rPr>
  </w:style>
  <w:style w:type="character" w:customStyle="1" w:styleId="37">
    <w:name w:val="标题 4 字符"/>
    <w:link w:val="6"/>
    <w:qFormat/>
    <w:uiPriority w:val="0"/>
    <w:rPr>
      <w:rFonts w:ascii="Times New Roman" w:hAnsi="Times New Roman"/>
      <w:kern w:val="28"/>
      <w:sz w:val="24"/>
    </w:rPr>
  </w:style>
  <w:style w:type="character" w:customStyle="1" w:styleId="38">
    <w:name w:val="标题 5 字符"/>
    <w:link w:val="7"/>
    <w:qFormat/>
    <w:uiPriority w:val="9"/>
    <w:rPr>
      <w:b/>
      <w:bCs/>
      <w:kern w:val="2"/>
      <w:sz w:val="28"/>
      <w:szCs w:val="28"/>
    </w:rPr>
  </w:style>
  <w:style w:type="character" w:customStyle="1" w:styleId="39">
    <w:name w:val="标题 6 字符"/>
    <w:link w:val="8"/>
    <w:qFormat/>
    <w:uiPriority w:val="9"/>
    <w:rPr>
      <w:rFonts w:ascii="Cambria" w:hAnsi="Cambria" w:eastAsia="宋体" w:cs="Times New Roman"/>
      <w:b/>
      <w:bCs/>
      <w:kern w:val="2"/>
      <w:sz w:val="24"/>
      <w:szCs w:val="24"/>
    </w:rPr>
  </w:style>
  <w:style w:type="character" w:customStyle="1" w:styleId="40">
    <w:name w:val="标题 7 字符"/>
    <w:link w:val="9"/>
    <w:qFormat/>
    <w:uiPriority w:val="9"/>
    <w:rPr>
      <w:b/>
      <w:bCs/>
      <w:kern w:val="2"/>
      <w:sz w:val="24"/>
      <w:szCs w:val="24"/>
    </w:rPr>
  </w:style>
  <w:style w:type="character" w:customStyle="1" w:styleId="41">
    <w:name w:val="正文缩进 字符"/>
    <w:link w:val="10"/>
    <w:qFormat/>
    <w:uiPriority w:val="0"/>
    <w:rPr>
      <w:rFonts w:ascii="Times New Roman" w:hAnsi="Times New Roman"/>
      <w:kern w:val="2"/>
      <w:sz w:val="24"/>
      <w:szCs w:val="24"/>
    </w:rPr>
  </w:style>
  <w:style w:type="character" w:customStyle="1" w:styleId="42">
    <w:name w:val="文档结构图 字符"/>
    <w:link w:val="11"/>
    <w:qFormat/>
    <w:uiPriority w:val="99"/>
    <w:rPr>
      <w:rFonts w:ascii="宋体" w:hAnsi="Times New Roman" w:eastAsia="宋体" w:cs="Times New Roman"/>
      <w:sz w:val="18"/>
      <w:szCs w:val="18"/>
    </w:rPr>
  </w:style>
  <w:style w:type="character" w:customStyle="1" w:styleId="43">
    <w:name w:val="批注文字 字符"/>
    <w:link w:val="12"/>
    <w:qFormat/>
    <w:uiPriority w:val="99"/>
    <w:rPr>
      <w:kern w:val="2"/>
      <w:sz w:val="21"/>
    </w:rPr>
  </w:style>
  <w:style w:type="character" w:customStyle="1" w:styleId="44">
    <w:name w:val="正文文本缩进 字符"/>
    <w:link w:val="13"/>
    <w:qFormat/>
    <w:uiPriority w:val="99"/>
    <w:rPr>
      <w:rFonts w:ascii="Times New Roman" w:hAnsi="Times New Roman"/>
      <w:kern w:val="2"/>
      <w:sz w:val="21"/>
    </w:rPr>
  </w:style>
  <w:style w:type="character" w:customStyle="1" w:styleId="45">
    <w:name w:val="日期 字符"/>
    <w:link w:val="15"/>
    <w:qFormat/>
    <w:uiPriority w:val="99"/>
    <w:rPr>
      <w:rFonts w:ascii="Times New Roman" w:hAnsi="Times New Roman"/>
      <w:kern w:val="2"/>
      <w:sz w:val="21"/>
    </w:rPr>
  </w:style>
  <w:style w:type="character" w:customStyle="1" w:styleId="46">
    <w:name w:val="批注框文本 字符"/>
    <w:link w:val="16"/>
    <w:qFormat/>
    <w:uiPriority w:val="99"/>
    <w:rPr>
      <w:rFonts w:ascii="Times New Roman" w:hAnsi="Times New Roman"/>
      <w:kern w:val="2"/>
      <w:sz w:val="18"/>
      <w:szCs w:val="18"/>
    </w:rPr>
  </w:style>
  <w:style w:type="character" w:customStyle="1" w:styleId="47">
    <w:name w:val="页脚 字符"/>
    <w:link w:val="17"/>
    <w:qFormat/>
    <w:uiPriority w:val="99"/>
    <w:rPr>
      <w:rFonts w:ascii="Times New Roman" w:hAnsi="Times New Roman"/>
      <w:kern w:val="2"/>
      <w:sz w:val="18"/>
      <w:szCs w:val="18"/>
    </w:rPr>
  </w:style>
  <w:style w:type="character" w:customStyle="1" w:styleId="48">
    <w:name w:val="页眉 字符"/>
    <w:link w:val="18"/>
    <w:qFormat/>
    <w:uiPriority w:val="99"/>
    <w:rPr>
      <w:rFonts w:ascii="Times New Roman" w:hAnsi="Times New Roman"/>
      <w:kern w:val="2"/>
      <w:sz w:val="18"/>
      <w:szCs w:val="18"/>
    </w:rPr>
  </w:style>
  <w:style w:type="character" w:customStyle="1" w:styleId="49">
    <w:name w:val="正文文本缩进 3 字符"/>
    <w:link w:val="20"/>
    <w:qFormat/>
    <w:uiPriority w:val="99"/>
    <w:rPr>
      <w:rFonts w:ascii="Times New Roman" w:hAnsi="Times New Roman"/>
      <w:kern w:val="2"/>
      <w:sz w:val="16"/>
      <w:szCs w:val="16"/>
    </w:rPr>
  </w:style>
  <w:style w:type="character" w:customStyle="1" w:styleId="50">
    <w:name w:val="标题 字符"/>
    <w:link w:val="23"/>
    <w:qFormat/>
    <w:uiPriority w:val="10"/>
    <w:rPr>
      <w:rFonts w:ascii="Cambria" w:hAnsi="Cambria" w:eastAsia="宋体" w:cs="Times New Roman"/>
      <w:b/>
      <w:bCs/>
      <w:kern w:val="2"/>
      <w:sz w:val="32"/>
      <w:szCs w:val="32"/>
    </w:rPr>
  </w:style>
  <w:style w:type="character" w:customStyle="1" w:styleId="51">
    <w:name w:val="批注主题 字符"/>
    <w:link w:val="24"/>
    <w:qFormat/>
    <w:uiPriority w:val="99"/>
    <w:rPr>
      <w:b/>
      <w:bCs/>
      <w:kern w:val="2"/>
      <w:sz w:val="21"/>
    </w:rPr>
  </w:style>
  <w:style w:type="paragraph" w:customStyle="1" w:styleId="52">
    <w:name w:val="_Style 2"/>
    <w:basedOn w:val="1"/>
    <w:qFormat/>
    <w:uiPriority w:val="0"/>
    <w:pPr>
      <w:ind w:firstLine="200" w:firstLineChars="200"/>
    </w:pPr>
    <w:rPr>
      <w:rFonts w:ascii="Calibri" w:hAnsi="Calibri"/>
      <w:sz w:val="28"/>
    </w:rPr>
  </w:style>
  <w:style w:type="character" w:customStyle="1" w:styleId="53">
    <w:name w:val="font01"/>
    <w:qFormat/>
    <w:uiPriority w:val="0"/>
    <w:rPr>
      <w:rFonts w:hint="eastAsia" w:ascii="宋体" w:hAnsi="宋体" w:eastAsia="宋体"/>
      <w:color w:val="000000"/>
      <w:sz w:val="18"/>
      <w:szCs w:val="18"/>
      <w:u w:val="none"/>
    </w:rPr>
  </w:style>
  <w:style w:type="paragraph" w:customStyle="1" w:styleId="54">
    <w:name w:val="p0"/>
    <w:basedOn w:val="1"/>
    <w:qFormat/>
    <w:uiPriority w:val="0"/>
    <w:pPr>
      <w:widowControl/>
      <w:snapToGrid w:val="0"/>
      <w:spacing w:line="300" w:lineRule="auto"/>
      <w:ind w:firstLine="420"/>
    </w:pPr>
    <w:rPr>
      <w:kern w:val="0"/>
      <w:sz w:val="24"/>
      <w:szCs w:val="24"/>
    </w:rPr>
  </w:style>
  <w:style w:type="paragraph" w:customStyle="1" w:styleId="55">
    <w:name w:val="p15"/>
    <w:basedOn w:val="1"/>
    <w:qFormat/>
    <w:uiPriority w:val="0"/>
    <w:pPr>
      <w:widowControl/>
      <w:snapToGrid w:val="0"/>
      <w:spacing w:line="300" w:lineRule="auto"/>
      <w:ind w:firstLine="420"/>
    </w:pPr>
    <w:rPr>
      <w:kern w:val="0"/>
      <w:sz w:val="24"/>
      <w:szCs w:val="24"/>
    </w:rPr>
  </w:style>
  <w:style w:type="paragraph" w:customStyle="1" w:styleId="56">
    <w:name w:val="列出段落1"/>
    <w:basedOn w:val="1"/>
    <w:qFormat/>
    <w:uiPriority w:val="34"/>
    <w:pPr>
      <w:ind w:firstLine="200" w:firstLineChars="200"/>
    </w:pPr>
    <w:rPr>
      <w:rFonts w:hint="eastAsia"/>
    </w:rPr>
  </w:style>
  <w:style w:type="paragraph" w:customStyle="1" w:styleId="57">
    <w:name w:val="列表段落1"/>
    <w:basedOn w:val="1"/>
    <w:qFormat/>
    <w:uiPriority w:val="34"/>
    <w:pPr>
      <w:widowControl/>
      <w:ind w:firstLine="420" w:firstLineChars="200"/>
      <w:jc w:val="left"/>
    </w:pPr>
    <w:rPr>
      <w:rFonts w:ascii="宋体" w:hAnsi="宋体" w:cs="宋体"/>
      <w:kern w:val="0"/>
      <w:sz w:val="24"/>
      <w:szCs w:val="24"/>
    </w:rPr>
  </w:style>
  <w:style w:type="paragraph" w:customStyle="1" w:styleId="5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59">
    <w:name w:val="文档正文"/>
    <w:basedOn w:val="1"/>
    <w:qFormat/>
    <w:uiPriority w:val="0"/>
    <w:pPr>
      <w:adjustRightInd w:val="0"/>
      <w:spacing w:line="480" w:lineRule="atLeast"/>
      <w:ind w:firstLine="567"/>
      <w:textAlignment w:val="baseline"/>
    </w:pPr>
    <w:rPr>
      <w:rFonts w:ascii="仿宋_GB2312" w:eastAsia="仿宋_GB2312"/>
      <w:kern w:val="0"/>
      <w:sz w:val="28"/>
    </w:rPr>
  </w:style>
  <w:style w:type="paragraph" w:customStyle="1" w:styleId="60">
    <w:name w:val="节"/>
    <w:basedOn w:val="1"/>
    <w:qFormat/>
    <w:uiPriority w:val="0"/>
    <w:pPr>
      <w:numPr>
        <w:ilvl w:val="1"/>
        <w:numId w:val="2"/>
      </w:numPr>
    </w:pPr>
    <w:rPr>
      <w:szCs w:val="24"/>
    </w:rPr>
  </w:style>
  <w:style w:type="paragraph" w:customStyle="1" w:styleId="61">
    <w:name w:val="WPSOffice手动目录 1"/>
    <w:qFormat/>
    <w:uiPriority w:val="0"/>
    <w:rPr>
      <w:rFonts w:ascii="Calibri" w:hAnsi="Calibri" w:eastAsia="宋体" w:cs="Times New Roman"/>
      <w:lang w:val="en-US" w:eastAsia="zh-CN" w:bidi="ar-SA"/>
    </w:rPr>
  </w:style>
  <w:style w:type="paragraph" w:customStyle="1" w:styleId="62">
    <w:name w:val="表"/>
    <w:next w:val="1"/>
    <w:qFormat/>
    <w:uiPriority w:val="0"/>
    <w:rPr>
      <w:rFonts w:ascii="Calibri" w:hAnsi="Calibri" w:eastAsia="宋体" w:cs="Times New Roman"/>
      <w:kern w:val="2"/>
      <w:sz w:val="21"/>
      <w:szCs w:val="22"/>
      <w:lang w:val="en-US" w:eastAsia="zh-CN" w:bidi="ar-SA"/>
    </w:rPr>
  </w:style>
  <w:style w:type="character" w:customStyle="1" w:styleId="63">
    <w:name w:val="font41"/>
    <w:basedOn w:val="28"/>
    <w:qFormat/>
    <w:uiPriority w:val="0"/>
    <w:rPr>
      <w:rFonts w:hint="eastAsia" w:ascii="宋体" w:hAnsi="宋体" w:eastAsia="宋体" w:cs="宋体"/>
      <w:color w:val="000000"/>
      <w:sz w:val="20"/>
      <w:szCs w:val="20"/>
      <w:u w:val="none"/>
    </w:rPr>
  </w:style>
  <w:style w:type="character" w:customStyle="1" w:styleId="64">
    <w:name w:val="font71"/>
    <w:qFormat/>
    <w:uiPriority w:val="0"/>
    <w:rPr>
      <w:rFonts w:hint="eastAsia" w:ascii="微软雅黑" w:hAnsi="微软雅黑" w:eastAsia="微软雅黑" w:cs="微软雅黑"/>
      <w:color w:val="000000"/>
      <w:sz w:val="18"/>
      <w:szCs w:val="18"/>
      <w:u w:val="none"/>
    </w:rPr>
  </w:style>
  <w:style w:type="paragraph" w:customStyle="1" w:styleId="65">
    <w:name w:val="修订1"/>
    <w:qFormat/>
    <w:uiPriority w:val="99"/>
    <w:rPr>
      <w:rFonts w:ascii="Times New Roman" w:hAnsi="Times New Roman" w:eastAsia="宋体" w:cs="Times New Roman"/>
      <w:kern w:val="2"/>
      <w:sz w:val="21"/>
      <w:lang w:val="en-US" w:eastAsia="zh-CN" w:bidi="ar-SA"/>
    </w:rPr>
  </w:style>
  <w:style w:type="paragraph" w:styleId="66">
    <w:name w:val="List Paragraph"/>
    <w:basedOn w:val="1"/>
    <w:qFormat/>
    <w:uiPriority w:val="99"/>
    <w:pPr>
      <w:ind w:firstLine="420" w:firstLineChars="200"/>
    </w:pPr>
  </w:style>
  <w:style w:type="paragraph" w:customStyle="1" w:styleId="67">
    <w:name w:val="修订2"/>
    <w:qFormat/>
    <w:uiPriority w:val="99"/>
    <w:rPr>
      <w:rFonts w:ascii="Times New Roman" w:hAnsi="Times New Roman" w:eastAsia="宋体" w:cs="Times New Roman"/>
      <w:kern w:val="2"/>
      <w:sz w:val="21"/>
      <w:lang w:val="en-US" w:eastAsia="zh-CN" w:bidi="ar-SA"/>
    </w:rPr>
  </w:style>
  <w:style w:type="paragraph" w:customStyle="1" w:styleId="68">
    <w:name w:val="List Paragraph1"/>
    <w:basedOn w:val="1"/>
    <w:qFormat/>
    <w:uiPriority w:val="99"/>
    <w:pPr>
      <w:ind w:firstLine="420" w:firstLineChars="200"/>
    </w:pPr>
  </w:style>
  <w:style w:type="character" w:customStyle="1" w:styleId="69">
    <w:name w:val="font21"/>
    <w:qFormat/>
    <w:uiPriority w:val="0"/>
    <w:rPr>
      <w:rFonts w:hint="eastAsia" w:ascii="仿宋" w:hAnsi="仿宋" w:eastAsia="仿宋" w:cs="仿宋"/>
      <w:color w:val="000000"/>
      <w:sz w:val="20"/>
      <w:szCs w:val="20"/>
      <w:u w:val="none"/>
    </w:rPr>
  </w:style>
  <w:style w:type="character" w:customStyle="1" w:styleId="70">
    <w:name w:val="font51"/>
    <w:qFormat/>
    <w:uiPriority w:val="0"/>
    <w:rPr>
      <w:rFonts w:hint="eastAsia" w:ascii="宋体" w:hAnsi="宋体" w:eastAsia="宋体" w:cs="宋体"/>
      <w:color w:val="00CCFF"/>
      <w:sz w:val="20"/>
      <w:szCs w:val="20"/>
      <w:u w:val="none"/>
    </w:rPr>
  </w:style>
  <w:style w:type="character" w:customStyle="1" w:styleId="71">
    <w:name w:val="font11"/>
    <w:basedOn w:val="28"/>
    <w:qFormat/>
    <w:uiPriority w:val="0"/>
    <w:rPr>
      <w:rFonts w:hint="eastAsia" w:ascii="宋体" w:hAnsi="宋体" w:eastAsia="宋体" w:cs="宋体"/>
      <w:color w:val="000000"/>
      <w:sz w:val="22"/>
      <w:szCs w:val="22"/>
      <w:u w:val="none"/>
    </w:rPr>
  </w:style>
  <w:style w:type="paragraph" w:customStyle="1" w:styleId="72">
    <w:name w:val="修订3"/>
    <w:qFormat/>
    <w:uiPriority w:val="99"/>
    <w:rPr>
      <w:rFonts w:ascii="Times New Roman" w:hAnsi="Times New Roman" w:eastAsia="宋体" w:cs="Times New Roman"/>
      <w:kern w:val="2"/>
      <w:sz w:val="21"/>
      <w:lang w:val="en-US" w:eastAsia="zh-CN" w:bidi="ar-SA"/>
    </w:rPr>
  </w:style>
  <w:style w:type="paragraph" w:customStyle="1" w:styleId="73">
    <w:name w:val="修订4"/>
    <w:qFormat/>
    <w:uiPriority w:val="99"/>
    <w:rPr>
      <w:rFonts w:ascii="Times New Roman" w:hAnsi="Times New Roman" w:eastAsia="宋体" w:cs="Times New Roman"/>
      <w:kern w:val="2"/>
      <w:sz w:val="21"/>
      <w:lang w:val="en-US" w:eastAsia="zh-CN" w:bidi="ar-SA"/>
    </w:rPr>
  </w:style>
  <w:style w:type="paragraph" w:customStyle="1" w:styleId="74">
    <w:name w:val="Revision1"/>
    <w:qFormat/>
    <w:uiPriority w:val="99"/>
    <w:rPr>
      <w:rFonts w:ascii="Times New Roman" w:hAnsi="Times New Roman" w:eastAsia="宋体" w:cs="Times New Roman"/>
      <w:kern w:val="2"/>
      <w:sz w:val="21"/>
      <w:lang w:val="en-US" w:eastAsia="zh-CN" w:bidi="ar-SA"/>
    </w:rPr>
  </w:style>
  <w:style w:type="paragraph" w:customStyle="1" w:styleId="75">
    <w:name w:val="修订5"/>
    <w:qFormat/>
    <w:uiPriority w:val="99"/>
    <w:rPr>
      <w:rFonts w:ascii="Times New Roman" w:hAnsi="Times New Roman" w:eastAsia="宋体" w:cs="Times New Roman"/>
      <w:kern w:val="2"/>
      <w:sz w:val="21"/>
      <w:lang w:val="en-US" w:eastAsia="zh-CN" w:bidi="ar-SA"/>
    </w:rPr>
  </w:style>
  <w:style w:type="paragraph" w:customStyle="1" w:styleId="76">
    <w:name w:val="修订6"/>
    <w:qFormat/>
    <w:uiPriority w:val="99"/>
    <w:rPr>
      <w:rFonts w:ascii="Times New Roman" w:hAnsi="Times New Roman" w:eastAsia="宋体" w:cs="Times New Roman"/>
      <w:kern w:val="2"/>
      <w:sz w:val="21"/>
      <w:lang w:val="en-US" w:eastAsia="zh-CN" w:bidi="ar-SA"/>
    </w:rPr>
  </w:style>
  <w:style w:type="character" w:customStyle="1" w:styleId="77">
    <w:name w:val="font61"/>
    <w:basedOn w:val="28"/>
    <w:qFormat/>
    <w:uiPriority w:val="0"/>
    <w:rPr>
      <w:rFonts w:hint="eastAsia" w:ascii="宋体" w:hAnsi="宋体" w:eastAsia="宋体" w:cs="宋体"/>
      <w:b/>
      <w:bCs/>
      <w:color w:val="000000"/>
      <w:sz w:val="28"/>
      <w:szCs w:val="28"/>
      <w:u w:val="none"/>
    </w:rPr>
  </w:style>
  <w:style w:type="character" w:customStyle="1" w:styleId="78">
    <w:name w:val="font31"/>
    <w:basedOn w:val="28"/>
    <w:qFormat/>
    <w:uiPriority w:val="0"/>
    <w:rPr>
      <w:rFonts w:hint="default" w:ascii="仿宋" w:hAnsi="仿宋" w:eastAsia="仿宋" w:cs="仿宋"/>
      <w:b/>
      <w:bCs/>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2326</Words>
  <Characters>2422</Characters>
  <Lines>64</Lines>
  <Paragraphs>18</Paragraphs>
  <TotalTime>5</TotalTime>
  <ScaleCrop>false</ScaleCrop>
  <LinksUpToDate>false</LinksUpToDate>
  <CharactersWithSpaces>2423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2025-10-07T19:12:00Z</dcterms:created>
  <dc:creator>admin</dc:creator>
  <cp:lastModifiedBy>admin</cp:lastModifiedBy>
  <cp:lastPrinted>2024-10-15T02:08:00Z</cp:lastPrinted>
  <dcterms:modified xsi:type="dcterms:W3CDTF">2026-07-16T10:53:35Z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EF78FA92713BB78B0B870869C06E7751_43</vt:lpwstr>
  </property>
  <property fmtid="{D5CDD505-2E9C-101B-9397-08002B2CF9AE}" pid="4" name="KSOTemplateDocerSaveRecord">
    <vt:lpwstr>eyJoZGlkIjoiMmU4NDFiMjI1NmQyZmVkZjQ5YjBkNWJjZDgwYzgyN2YiLCJ1c2VySWQiOiIxNDA5MDU4NjM5In0=</vt:lpwstr>
  </property>
</Properties>
</file>